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656"/>
      </w:tblGrid>
      <w:tr w:rsidR="0041273E" w:rsidRPr="00A726DC" w14:paraId="6B819139" w14:textId="77777777">
        <w:trPr>
          <w:jc w:val="center"/>
        </w:trPr>
        <w:tc>
          <w:tcPr>
            <w:tcW w:w="10656" w:type="dxa"/>
            <w:shd w:val="clear" w:color="auto" w:fill="17365D"/>
          </w:tcPr>
          <w:p w14:paraId="363A093F" w14:textId="77777777" w:rsidR="0041273E" w:rsidRPr="00A726DC" w:rsidRDefault="00000000" w:rsidP="00A726DC">
            <w:pPr>
              <w:spacing w:line="360" w:lineRule="auto"/>
              <w:jc w:val="center"/>
              <w:rPr>
                <w:rFonts w:ascii="Garamond" w:hAnsi="Garamond"/>
                <w:sz w:val="20"/>
                <w:szCs w:val="20"/>
              </w:rPr>
            </w:pPr>
            <w:r w:rsidRPr="00A726DC">
              <w:rPr>
                <w:rFonts w:ascii="Garamond" w:hAnsi="Garamond"/>
                <w:b/>
                <w:color w:val="FFFFFF"/>
                <w:sz w:val="20"/>
                <w:szCs w:val="20"/>
              </w:rPr>
              <w:t>Hybrid Helium Recovery in Alberta</w:t>
            </w:r>
            <w:r w:rsidRPr="00A726DC">
              <w:rPr>
                <w:rFonts w:ascii="Garamond" w:hAnsi="Garamond"/>
                <w:b/>
                <w:color w:val="FFFFFF"/>
                <w:sz w:val="20"/>
                <w:szCs w:val="20"/>
              </w:rPr>
              <w:br/>
            </w:r>
            <w:r w:rsidRPr="00A726DC">
              <w:rPr>
                <w:rFonts w:ascii="Garamond" w:hAnsi="Garamond"/>
                <w:color w:val="E0EBF5"/>
                <w:sz w:val="20"/>
                <w:szCs w:val="20"/>
              </w:rPr>
              <w:t>Polymeric membrane pre-concentration + PSA polishing</w:t>
            </w:r>
          </w:p>
        </w:tc>
      </w:tr>
    </w:tbl>
    <w:p w14:paraId="64AD21A7" w14:textId="7E82287E" w:rsidR="0041273E" w:rsidRPr="00A726DC" w:rsidRDefault="00000000" w:rsidP="00A726DC">
      <w:pPr>
        <w:spacing w:line="360" w:lineRule="auto"/>
        <w:jc w:val="both"/>
        <w:rPr>
          <w:rFonts w:ascii="Garamond" w:hAnsi="Garamond"/>
          <w:sz w:val="20"/>
          <w:szCs w:val="20"/>
        </w:rPr>
      </w:pPr>
      <w:r w:rsidRPr="00A726DC">
        <w:rPr>
          <w:rFonts w:ascii="Garamond" w:hAnsi="Garamond"/>
          <w:color w:val="696969"/>
          <w:sz w:val="20"/>
          <w:szCs w:val="20"/>
        </w:rPr>
        <w:t xml:space="preserve">Professional report | Prepared for strategic discussion | </w:t>
      </w:r>
    </w:p>
    <w:tbl>
      <w:tblPr>
        <w:tblW w:w="0" w:type="auto"/>
        <w:jc w:val="center"/>
        <w:tblLook w:val="04A0" w:firstRow="1" w:lastRow="0" w:firstColumn="1" w:lastColumn="0" w:noHBand="0" w:noVBand="1"/>
      </w:tblPr>
      <w:tblGrid>
        <w:gridCol w:w="10656"/>
      </w:tblGrid>
      <w:tr w:rsidR="0041273E" w:rsidRPr="00A726DC" w14:paraId="18485E08" w14:textId="77777777">
        <w:trPr>
          <w:jc w:val="center"/>
        </w:trPr>
        <w:tc>
          <w:tcPr>
            <w:tcW w:w="10656" w:type="dxa"/>
            <w:tcBorders>
              <w:top w:val="single" w:sz="8" w:space="0" w:color="D9EAF7"/>
              <w:left w:val="single" w:sz="8" w:space="0" w:color="D9EAF7"/>
              <w:bottom w:val="single" w:sz="8" w:space="0" w:color="D9EAF7"/>
              <w:right w:val="single" w:sz="8" w:space="0" w:color="D9EAF7"/>
            </w:tcBorders>
            <w:shd w:val="clear" w:color="auto" w:fill="EAF2F8"/>
          </w:tcPr>
          <w:p w14:paraId="60F0FDE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1F4E79"/>
                <w:sz w:val="20"/>
                <w:szCs w:val="20"/>
              </w:rPr>
              <w:t xml:space="preserve">Executive message. </w:t>
            </w:r>
            <w:r w:rsidRPr="00A726DC">
              <w:rPr>
                <w:rFonts w:ascii="Garamond" w:hAnsi="Garamond"/>
                <w:color w:val="2E4053"/>
                <w:sz w:val="20"/>
                <w:szCs w:val="20"/>
              </w:rPr>
              <w:t>The strongest Alberta concept is not membrane-only and not PSA-only. The best route is a hybrid system: membranes first concentrate dilute helium from selected natural-gas streams, then PSA polishes the enriched stream to saleable purity. This reduces the gas volume entering PSA and makes modular deployment at compressor stations or gas plants more realistic.</w:t>
            </w:r>
          </w:p>
        </w:tc>
      </w:tr>
    </w:tbl>
    <w:p w14:paraId="2B4C22B6" w14:textId="77777777" w:rsidR="0041273E" w:rsidRPr="00A726DC" w:rsidRDefault="00000000" w:rsidP="00A726DC">
      <w:pPr>
        <w:spacing w:after="20" w:line="360" w:lineRule="auto"/>
        <w:jc w:val="both"/>
        <w:rPr>
          <w:rFonts w:ascii="Garamond" w:hAnsi="Garamond"/>
          <w:sz w:val="20"/>
          <w:szCs w:val="20"/>
        </w:rPr>
      </w:pPr>
      <w:r w:rsidRPr="00A726DC">
        <w:rPr>
          <w:rFonts w:ascii="Garamond" w:hAnsi="Garamond"/>
          <w:b/>
          <w:color w:val="1F4E79"/>
          <w:sz w:val="20"/>
          <w:szCs w:val="20"/>
        </w:rPr>
        <w:t>Alberta opportunity</w:t>
      </w:r>
    </w:p>
    <w:p w14:paraId="22DC76BD" w14:textId="77777777" w:rsidR="0041273E" w:rsidRPr="00A726DC" w:rsidRDefault="00000000" w:rsidP="00A726DC">
      <w:pPr>
        <w:spacing w:after="60" w:line="360" w:lineRule="auto"/>
        <w:jc w:val="both"/>
        <w:rPr>
          <w:rFonts w:ascii="Garamond" w:hAnsi="Garamond"/>
          <w:sz w:val="20"/>
          <w:szCs w:val="20"/>
        </w:rPr>
      </w:pPr>
      <w:r w:rsidRPr="00A726DC">
        <w:rPr>
          <w:rFonts w:ascii="Garamond" w:hAnsi="Garamond"/>
          <w:sz w:val="20"/>
          <w:szCs w:val="20"/>
        </w:rPr>
        <w:t>Alberta is a credible location for helium recovery because helium can be produced as a by-product of natural gas, while the province already has gas wells, compressor stations, gas plants, and midstream operating capability. The Alberta Energy Regulator reported 2.2 thousand m3/d of helium production in 2024 from six producing wells and forecasts 10.4 thousand m3/d by 2034 under its base case.</w:t>
      </w:r>
      <w:r w:rsidRPr="00A726DC">
        <w:rPr>
          <w:rFonts w:ascii="Garamond" w:hAnsi="Garamond"/>
          <w:color w:val="1F4E79"/>
          <w:sz w:val="20"/>
          <w:szCs w:val="20"/>
          <w:vertAlign w:val="superscript"/>
        </w:rPr>
        <w:t xml:space="preserve"> [1]</w:t>
      </w:r>
    </w:p>
    <w:p w14:paraId="7EC3E33C" w14:textId="77777777" w:rsidR="0041273E" w:rsidRDefault="00000000" w:rsidP="00A726DC">
      <w:pPr>
        <w:spacing w:after="60" w:line="360" w:lineRule="auto"/>
        <w:jc w:val="both"/>
        <w:rPr>
          <w:rFonts w:ascii="Garamond" w:hAnsi="Garamond"/>
          <w:color w:val="1F4E79"/>
          <w:sz w:val="20"/>
          <w:szCs w:val="20"/>
          <w:vertAlign w:val="superscript"/>
        </w:rPr>
      </w:pPr>
      <w:r w:rsidRPr="00A726DC">
        <w:rPr>
          <w:rFonts w:ascii="Garamond" w:hAnsi="Garamond"/>
          <w:sz w:val="20"/>
          <w:szCs w:val="20"/>
        </w:rPr>
        <w:t>The economic screen should be strict. Canadian Energy Regulator material indicates helium extraction is generally more attractive above about 0.5% He, although the real threshold depends on gas flowrate, pressure, processing cost, transport distance, and helium price.</w:t>
      </w:r>
      <w:r w:rsidRPr="00A726DC">
        <w:rPr>
          <w:rFonts w:ascii="Garamond" w:hAnsi="Garamond"/>
          <w:color w:val="1F4E79"/>
          <w:sz w:val="20"/>
          <w:szCs w:val="20"/>
          <w:vertAlign w:val="superscript"/>
        </w:rPr>
        <w:t xml:space="preserve"> [2]</w:t>
      </w:r>
    </w:p>
    <w:p w14:paraId="71C191C7" w14:textId="77777777" w:rsidR="00A726DC" w:rsidRPr="00A726DC" w:rsidRDefault="00A726DC" w:rsidP="00A726DC">
      <w:pPr>
        <w:spacing w:after="60" w:line="360" w:lineRule="auto"/>
        <w:jc w:val="both"/>
        <w:rPr>
          <w:rFonts w:ascii="Garamond" w:hAnsi="Garamond"/>
          <w:sz w:val="20"/>
          <w:szCs w:val="20"/>
        </w:rPr>
      </w:pPr>
    </w:p>
    <w:p w14:paraId="3BF165F0"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b/>
          <w:color w:val="1F4E79"/>
          <w:sz w:val="20"/>
          <w:szCs w:val="20"/>
        </w:rPr>
        <w:t>Working assumptions learned from the project</w:t>
      </w:r>
    </w:p>
    <w:tbl>
      <w:tblPr>
        <w:tblStyle w:val="TableGrid"/>
        <w:tblW w:w="0" w:type="auto"/>
        <w:jc w:val="center"/>
        <w:tblLook w:val="04A0" w:firstRow="1" w:lastRow="0" w:firstColumn="1" w:lastColumn="0" w:noHBand="0" w:noVBand="1"/>
      </w:tblPr>
      <w:tblGrid>
        <w:gridCol w:w="1800"/>
        <w:gridCol w:w="2232"/>
        <w:gridCol w:w="2232"/>
        <w:gridCol w:w="4392"/>
      </w:tblGrid>
      <w:tr w:rsidR="0041273E" w:rsidRPr="00A726DC" w14:paraId="68C86C8C" w14:textId="77777777">
        <w:trPr>
          <w:jc w:val="center"/>
        </w:trPr>
        <w:tc>
          <w:tcPr>
            <w:tcW w:w="1800" w:type="dxa"/>
            <w:shd w:val="clear" w:color="auto" w:fill="1F4E79"/>
          </w:tcPr>
          <w:p w14:paraId="36E08CD1"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Item</w:t>
            </w:r>
          </w:p>
        </w:tc>
        <w:tc>
          <w:tcPr>
            <w:tcW w:w="2232" w:type="dxa"/>
            <w:shd w:val="clear" w:color="auto" w:fill="1F4E79"/>
          </w:tcPr>
          <w:p w14:paraId="5F870597"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Base assumption</w:t>
            </w:r>
          </w:p>
        </w:tc>
        <w:tc>
          <w:tcPr>
            <w:tcW w:w="2232" w:type="dxa"/>
            <w:shd w:val="clear" w:color="auto" w:fill="1F4E79"/>
          </w:tcPr>
          <w:p w14:paraId="59EE5FA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Purpose</w:t>
            </w:r>
          </w:p>
        </w:tc>
        <w:tc>
          <w:tcPr>
            <w:tcW w:w="4392" w:type="dxa"/>
            <w:shd w:val="clear" w:color="auto" w:fill="1F4E79"/>
          </w:tcPr>
          <w:p w14:paraId="28D75AF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Decision meaning</w:t>
            </w:r>
          </w:p>
        </w:tc>
      </w:tr>
      <w:tr w:rsidR="0041273E" w:rsidRPr="00A726DC" w14:paraId="0B686872" w14:textId="77777777">
        <w:trPr>
          <w:jc w:val="center"/>
        </w:trPr>
        <w:tc>
          <w:tcPr>
            <w:tcW w:w="1800" w:type="dxa"/>
            <w:shd w:val="clear" w:color="auto" w:fill="EEF4FA"/>
          </w:tcPr>
          <w:p w14:paraId="6BF91C03"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Feed He</w:t>
            </w:r>
          </w:p>
        </w:tc>
        <w:tc>
          <w:tcPr>
            <w:tcW w:w="2232" w:type="dxa"/>
          </w:tcPr>
          <w:p w14:paraId="4EB4812C"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~0.3-0.8%; base case ~0.5%</w:t>
            </w:r>
          </w:p>
        </w:tc>
        <w:tc>
          <w:tcPr>
            <w:tcW w:w="2232" w:type="dxa"/>
          </w:tcPr>
          <w:p w14:paraId="7DCC45F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Screen Alberta gas sites</w:t>
            </w:r>
          </w:p>
        </w:tc>
        <w:tc>
          <w:tcPr>
            <w:tcW w:w="4392" w:type="dxa"/>
          </w:tcPr>
          <w:p w14:paraId="20A59596"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Below ~0.2% is high risk unless flowrate/price is strong</w:t>
            </w:r>
          </w:p>
        </w:tc>
      </w:tr>
      <w:tr w:rsidR="0041273E" w:rsidRPr="00A726DC" w14:paraId="534C0CCA" w14:textId="77777777">
        <w:trPr>
          <w:jc w:val="center"/>
        </w:trPr>
        <w:tc>
          <w:tcPr>
            <w:tcW w:w="1800" w:type="dxa"/>
            <w:shd w:val="clear" w:color="auto" w:fill="EEF4FA"/>
          </w:tcPr>
          <w:p w14:paraId="3F7BA5CC"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Stage 1 membrane</w:t>
            </w:r>
          </w:p>
        </w:tc>
        <w:tc>
          <w:tcPr>
            <w:tcW w:w="2232" w:type="dxa"/>
          </w:tcPr>
          <w:p w14:paraId="0594486C"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~5% He product</w:t>
            </w:r>
          </w:p>
        </w:tc>
        <w:tc>
          <w:tcPr>
            <w:tcW w:w="2232" w:type="dxa"/>
          </w:tcPr>
          <w:p w14:paraId="24AB0B63"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Bulk enrichment</w:t>
            </w:r>
          </w:p>
        </w:tc>
        <w:tc>
          <w:tcPr>
            <w:tcW w:w="4392" w:type="dxa"/>
          </w:tcPr>
          <w:p w14:paraId="50E098A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Reduces gas volume before deeper enrichment</w:t>
            </w:r>
          </w:p>
        </w:tc>
      </w:tr>
      <w:tr w:rsidR="0041273E" w:rsidRPr="00A726DC" w14:paraId="48D34CCB" w14:textId="77777777">
        <w:trPr>
          <w:jc w:val="center"/>
        </w:trPr>
        <w:tc>
          <w:tcPr>
            <w:tcW w:w="1800" w:type="dxa"/>
            <w:shd w:val="clear" w:color="auto" w:fill="EEF4FA"/>
          </w:tcPr>
          <w:p w14:paraId="279372FB"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Stage 2 membrane</w:t>
            </w:r>
          </w:p>
        </w:tc>
        <w:tc>
          <w:tcPr>
            <w:tcW w:w="2232" w:type="dxa"/>
          </w:tcPr>
          <w:p w14:paraId="5EAED99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~50-70% crude He</w:t>
            </w:r>
          </w:p>
        </w:tc>
        <w:tc>
          <w:tcPr>
            <w:tcW w:w="2232" w:type="dxa"/>
          </w:tcPr>
          <w:p w14:paraId="74DEE1A7"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PSA feed preparation</w:t>
            </w:r>
          </w:p>
        </w:tc>
        <w:tc>
          <w:tcPr>
            <w:tcW w:w="4392" w:type="dxa"/>
          </w:tcPr>
          <w:p w14:paraId="2583B569"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Makes PSA much smaller than raw-gas PSA</w:t>
            </w:r>
          </w:p>
        </w:tc>
      </w:tr>
      <w:tr w:rsidR="0041273E" w:rsidRPr="00A726DC" w14:paraId="101F6AEB" w14:textId="77777777">
        <w:trPr>
          <w:jc w:val="center"/>
        </w:trPr>
        <w:tc>
          <w:tcPr>
            <w:tcW w:w="1800" w:type="dxa"/>
            <w:shd w:val="clear" w:color="auto" w:fill="EEF4FA"/>
          </w:tcPr>
          <w:p w14:paraId="6D35E4CE"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PSA outlet</w:t>
            </w:r>
          </w:p>
        </w:tc>
        <w:tc>
          <w:tcPr>
            <w:tcW w:w="2232" w:type="dxa"/>
          </w:tcPr>
          <w:p w14:paraId="4797A39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99.9-99.999% He</w:t>
            </w:r>
          </w:p>
        </w:tc>
        <w:tc>
          <w:tcPr>
            <w:tcW w:w="2232" w:type="dxa"/>
          </w:tcPr>
          <w:p w14:paraId="1F6C3306"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Final polishing</w:t>
            </w:r>
          </w:p>
        </w:tc>
        <w:tc>
          <w:tcPr>
            <w:tcW w:w="4392" w:type="dxa"/>
          </w:tcPr>
          <w:p w14:paraId="14EE2C1F"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Purity depends on adsorbent, cycle, recovery, and feed</w:t>
            </w:r>
          </w:p>
        </w:tc>
      </w:tr>
      <w:tr w:rsidR="0041273E" w:rsidRPr="00A726DC" w14:paraId="184B9049" w14:textId="77777777">
        <w:trPr>
          <w:jc w:val="center"/>
        </w:trPr>
        <w:tc>
          <w:tcPr>
            <w:tcW w:w="1800" w:type="dxa"/>
            <w:shd w:val="clear" w:color="auto" w:fill="EEF4FA"/>
          </w:tcPr>
          <w:p w14:paraId="2055820E"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Price sensitivity</w:t>
            </w:r>
          </w:p>
        </w:tc>
        <w:tc>
          <w:tcPr>
            <w:tcW w:w="2232" w:type="dxa"/>
          </w:tcPr>
          <w:p w14:paraId="0B6B0DE8"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US$330/Mcf base-price reference; commercial cases may be higher</w:t>
            </w:r>
          </w:p>
        </w:tc>
        <w:tc>
          <w:tcPr>
            <w:tcW w:w="2232" w:type="dxa"/>
          </w:tcPr>
          <w:p w14:paraId="2501475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Revenue model</w:t>
            </w:r>
          </w:p>
        </w:tc>
        <w:tc>
          <w:tcPr>
            <w:tcW w:w="4392" w:type="dxa"/>
          </w:tcPr>
          <w:p w14:paraId="3D198D39"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Use sensitivity, not one fixed price</w:t>
            </w:r>
          </w:p>
        </w:tc>
      </w:tr>
    </w:tbl>
    <w:p w14:paraId="25EB0C6C" w14:textId="77777777" w:rsidR="0041273E" w:rsidRDefault="00000000" w:rsidP="00A726DC">
      <w:pPr>
        <w:spacing w:after="0" w:line="360" w:lineRule="auto"/>
        <w:jc w:val="both"/>
        <w:rPr>
          <w:rFonts w:ascii="Garamond" w:hAnsi="Garamond"/>
          <w:color w:val="1F4E79"/>
          <w:sz w:val="20"/>
          <w:szCs w:val="20"/>
          <w:vertAlign w:val="superscript"/>
        </w:rPr>
      </w:pPr>
      <w:r w:rsidRPr="00A726DC">
        <w:rPr>
          <w:rFonts w:ascii="Garamond" w:hAnsi="Garamond"/>
          <w:i/>
          <w:color w:val="5A5A5A"/>
          <w:sz w:val="20"/>
          <w:szCs w:val="20"/>
        </w:rPr>
        <w:t>Note: USGS reported an estimated 2025 Grade-A helium base price of about US$330/Mcf; commercial prices can differ because of grade, contract terms, logistics, and surcharges.</w:t>
      </w:r>
      <w:r w:rsidRPr="00A726DC">
        <w:rPr>
          <w:rFonts w:ascii="Garamond" w:hAnsi="Garamond"/>
          <w:color w:val="1F4E79"/>
          <w:sz w:val="20"/>
          <w:szCs w:val="20"/>
          <w:vertAlign w:val="superscript"/>
        </w:rPr>
        <w:t xml:space="preserve"> [3]</w:t>
      </w:r>
    </w:p>
    <w:p w14:paraId="388F4EC0" w14:textId="77777777" w:rsidR="00A726DC" w:rsidRPr="00A726DC" w:rsidRDefault="00A726DC" w:rsidP="00A726DC">
      <w:pPr>
        <w:spacing w:after="0" w:line="360" w:lineRule="auto"/>
        <w:jc w:val="both"/>
        <w:rPr>
          <w:rFonts w:ascii="Garamond" w:hAnsi="Garamond"/>
          <w:sz w:val="20"/>
          <w:szCs w:val="20"/>
        </w:rPr>
      </w:pPr>
    </w:p>
    <w:p w14:paraId="45486526" w14:textId="77777777" w:rsidR="0041273E" w:rsidRPr="00A726DC" w:rsidRDefault="00000000" w:rsidP="00A726DC">
      <w:pPr>
        <w:spacing w:line="360" w:lineRule="auto"/>
        <w:jc w:val="both"/>
        <w:rPr>
          <w:rFonts w:ascii="Garamond" w:hAnsi="Garamond"/>
          <w:sz w:val="20"/>
          <w:szCs w:val="20"/>
        </w:rPr>
      </w:pPr>
      <w:r w:rsidRPr="00A726DC">
        <w:rPr>
          <w:rFonts w:ascii="Garamond" w:hAnsi="Garamond"/>
          <w:noProof/>
          <w:sz w:val="20"/>
          <w:szCs w:val="20"/>
        </w:rPr>
        <w:drawing>
          <wp:inline distT="0" distB="0" distL="0" distR="0" wp14:anchorId="1D745175" wp14:editId="1265B0A0">
            <wp:extent cx="6492240" cy="1985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ium_process_scheme.png"/>
                    <pic:cNvPicPr/>
                  </pic:nvPicPr>
                  <pic:blipFill>
                    <a:blip r:embed="rId8"/>
                    <a:stretch>
                      <a:fillRect/>
                    </a:stretch>
                  </pic:blipFill>
                  <pic:spPr>
                    <a:xfrm>
                      <a:off x="0" y="0"/>
                      <a:ext cx="6492240" cy="1985862"/>
                    </a:xfrm>
                    <a:prstGeom prst="rect">
                      <a:avLst/>
                    </a:prstGeom>
                  </pic:spPr>
                </pic:pic>
              </a:graphicData>
            </a:graphic>
          </wp:inline>
        </w:drawing>
      </w:r>
    </w:p>
    <w:p w14:paraId="055D3B73" w14:textId="77777777" w:rsidR="0041273E" w:rsidRPr="00A726DC" w:rsidRDefault="00000000" w:rsidP="00A726DC">
      <w:pPr>
        <w:spacing w:line="360" w:lineRule="auto"/>
        <w:jc w:val="both"/>
        <w:rPr>
          <w:rFonts w:ascii="Garamond" w:hAnsi="Garamond"/>
          <w:sz w:val="20"/>
          <w:szCs w:val="20"/>
        </w:rPr>
      </w:pPr>
      <w:r w:rsidRPr="00A726DC">
        <w:rPr>
          <w:rFonts w:ascii="Garamond" w:hAnsi="Garamond"/>
          <w:i/>
          <w:color w:val="696969"/>
          <w:sz w:val="20"/>
          <w:szCs w:val="20"/>
        </w:rPr>
        <w:t>Figure 1. Proposed hybrid flowsheet for selected Alberta natural-gas sites.</w:t>
      </w:r>
    </w:p>
    <w:p w14:paraId="75835D2C" w14:textId="77777777" w:rsidR="0041273E" w:rsidRPr="00A726DC" w:rsidRDefault="00000000" w:rsidP="00A726DC">
      <w:pPr>
        <w:spacing w:after="40" w:line="360" w:lineRule="auto"/>
        <w:jc w:val="both"/>
        <w:rPr>
          <w:rFonts w:ascii="Garamond" w:hAnsi="Garamond"/>
          <w:sz w:val="20"/>
          <w:szCs w:val="20"/>
        </w:rPr>
      </w:pPr>
      <w:r w:rsidRPr="00A726DC">
        <w:rPr>
          <w:rFonts w:ascii="Garamond" w:hAnsi="Garamond"/>
          <w:b/>
          <w:color w:val="1F4E79"/>
          <w:sz w:val="20"/>
          <w:szCs w:val="20"/>
        </w:rPr>
        <w:lastRenderedPageBreak/>
        <w:t>Technology Design</w:t>
      </w:r>
    </w:p>
    <w:p w14:paraId="4B9A4F94" w14:textId="77777777" w:rsidR="0041273E" w:rsidRPr="00A726DC" w:rsidRDefault="00000000" w:rsidP="00A726DC">
      <w:pPr>
        <w:spacing w:after="40" w:line="360" w:lineRule="auto"/>
        <w:jc w:val="both"/>
        <w:rPr>
          <w:rFonts w:ascii="Garamond" w:hAnsi="Garamond"/>
          <w:sz w:val="20"/>
          <w:szCs w:val="20"/>
        </w:rPr>
      </w:pPr>
      <w:r w:rsidRPr="00A726DC">
        <w:rPr>
          <w:rFonts w:ascii="Garamond" w:hAnsi="Garamond"/>
          <w:b/>
          <w:color w:val="1F4E79"/>
          <w:sz w:val="20"/>
          <w:szCs w:val="20"/>
        </w:rPr>
        <w:t>Membrane role and required properties</w:t>
      </w:r>
    </w:p>
    <w:p w14:paraId="79EBBE7F" w14:textId="77777777" w:rsidR="0041273E" w:rsidRDefault="00000000" w:rsidP="00A726DC">
      <w:pPr>
        <w:spacing w:after="60" w:line="360" w:lineRule="auto"/>
        <w:jc w:val="both"/>
        <w:rPr>
          <w:rFonts w:ascii="Garamond" w:hAnsi="Garamond"/>
          <w:color w:val="1F4E79"/>
          <w:sz w:val="20"/>
          <w:szCs w:val="20"/>
          <w:vertAlign w:val="superscript"/>
        </w:rPr>
      </w:pPr>
      <w:r w:rsidRPr="00A726DC">
        <w:rPr>
          <w:rFonts w:ascii="Garamond" w:hAnsi="Garamond"/>
          <w:sz w:val="20"/>
          <w:szCs w:val="20"/>
        </w:rPr>
        <w:t>The membrane should have high helium permeance, strong He/CH4 and He/N2 selectivity, low defect density, and stable mixed-gas performance under pressure. For an Alberta field skid, the practical target is a hollow-fiber or spiral-wound polymeric module that can tolerate dry, pretreated natural gas at roughly ambient-to-moderate temperature, about 20-60 °C after temperature control, and feed pressures in the approximate 20-60 bar range; the mechanical module rating should be set above the site maximum pressure, commonly with a 70-100 bar design envelope for safety. It must resist plasticization, fouling, and aging in the presence of CO2, H2S traces, water, heavy hydrocarbons, and compressor oil, so pretreatment is not optional.</w:t>
      </w:r>
      <w:r w:rsidRPr="00A726DC">
        <w:rPr>
          <w:rFonts w:ascii="Garamond" w:hAnsi="Garamond"/>
          <w:color w:val="1F4E79"/>
          <w:sz w:val="20"/>
          <w:szCs w:val="20"/>
          <w:vertAlign w:val="superscript"/>
        </w:rPr>
        <w:t xml:space="preserve"> [4] [5]</w:t>
      </w:r>
    </w:p>
    <w:p w14:paraId="0C4A26CD" w14:textId="77777777" w:rsidR="00A726DC" w:rsidRPr="00A726DC" w:rsidRDefault="00A726DC" w:rsidP="00A726DC">
      <w:pPr>
        <w:spacing w:after="60" w:line="360" w:lineRule="auto"/>
        <w:jc w:val="both"/>
        <w:rPr>
          <w:rFonts w:ascii="Garamond" w:hAnsi="Garamond"/>
          <w:sz w:val="20"/>
          <w:szCs w:val="20"/>
        </w:rPr>
      </w:pPr>
    </w:p>
    <w:tbl>
      <w:tblPr>
        <w:tblW w:w="0" w:type="auto"/>
        <w:jc w:val="center"/>
        <w:tblLayout w:type="fixed"/>
        <w:tblLook w:val="04A0" w:firstRow="1" w:lastRow="0" w:firstColumn="1" w:lastColumn="0" w:noHBand="0" w:noVBand="1"/>
      </w:tblPr>
      <w:tblGrid>
        <w:gridCol w:w="5256"/>
        <w:gridCol w:w="5256"/>
      </w:tblGrid>
      <w:tr w:rsidR="0041273E" w:rsidRPr="00A726DC" w14:paraId="60A3D553" w14:textId="77777777">
        <w:trPr>
          <w:jc w:val="center"/>
        </w:trPr>
        <w:tc>
          <w:tcPr>
            <w:tcW w:w="5256" w:type="dxa"/>
            <w:tcBorders>
              <w:top w:val="single" w:sz="8" w:space="0" w:color="D8EAF5"/>
              <w:left w:val="single" w:sz="8" w:space="0" w:color="D8EAF5"/>
              <w:bottom w:val="single" w:sz="8" w:space="0" w:color="D8EAF5"/>
              <w:right w:val="single" w:sz="8" w:space="0" w:color="D8EAF5"/>
            </w:tcBorders>
            <w:shd w:val="clear" w:color="auto" w:fill="F7FBFE"/>
          </w:tcPr>
          <w:p w14:paraId="63F81741"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1F4E79"/>
                <w:sz w:val="20"/>
                <w:szCs w:val="20"/>
              </w:rPr>
              <w:t>Membrane selection checklist</w:t>
            </w:r>
          </w:p>
          <w:p w14:paraId="3FA1020A" w14:textId="77777777" w:rsidR="0041273E" w:rsidRPr="00A726DC" w:rsidRDefault="00000000" w:rsidP="00A726DC">
            <w:pPr>
              <w:spacing w:line="360" w:lineRule="auto"/>
              <w:ind w:left="115"/>
              <w:jc w:val="both"/>
              <w:rPr>
                <w:rFonts w:ascii="Garamond" w:hAnsi="Garamond"/>
                <w:sz w:val="20"/>
                <w:szCs w:val="20"/>
              </w:rPr>
            </w:pPr>
            <w:r w:rsidRPr="00A726DC">
              <w:rPr>
                <w:rFonts w:ascii="Garamond" w:hAnsi="Garamond"/>
                <w:sz w:val="20"/>
                <w:szCs w:val="20"/>
              </w:rPr>
              <w:t>• High He permeability to reduce membrane area.</w:t>
            </w:r>
          </w:p>
          <w:p w14:paraId="1ED802EA" w14:textId="77777777" w:rsidR="0041273E" w:rsidRPr="00A726DC" w:rsidRDefault="00000000" w:rsidP="00A726DC">
            <w:pPr>
              <w:spacing w:line="360" w:lineRule="auto"/>
              <w:ind w:left="115"/>
              <w:jc w:val="both"/>
              <w:rPr>
                <w:rFonts w:ascii="Garamond" w:hAnsi="Garamond"/>
                <w:sz w:val="20"/>
                <w:szCs w:val="20"/>
              </w:rPr>
            </w:pPr>
            <w:r w:rsidRPr="00A726DC">
              <w:rPr>
                <w:rFonts w:ascii="Garamond" w:hAnsi="Garamond"/>
                <w:sz w:val="20"/>
                <w:szCs w:val="20"/>
              </w:rPr>
              <w:t>• High He/CH4 and He/N2 selectivity to limit methane and nitrogen loss.</w:t>
            </w:r>
          </w:p>
          <w:p w14:paraId="5FF49735" w14:textId="77777777" w:rsidR="0041273E" w:rsidRPr="00A726DC" w:rsidRDefault="00000000" w:rsidP="00A726DC">
            <w:pPr>
              <w:spacing w:line="360" w:lineRule="auto"/>
              <w:ind w:left="115"/>
              <w:jc w:val="both"/>
              <w:rPr>
                <w:rFonts w:ascii="Garamond" w:hAnsi="Garamond"/>
                <w:sz w:val="20"/>
                <w:szCs w:val="20"/>
              </w:rPr>
            </w:pPr>
            <w:r w:rsidRPr="00A726DC">
              <w:rPr>
                <w:rFonts w:ascii="Garamond" w:hAnsi="Garamond"/>
                <w:sz w:val="20"/>
                <w:szCs w:val="20"/>
              </w:rPr>
              <w:t>• Stable selectivity in mixed gas, not only single-gas tests.</w:t>
            </w:r>
          </w:p>
          <w:p w14:paraId="4559C20B" w14:textId="77777777" w:rsidR="0041273E" w:rsidRPr="00A726DC" w:rsidRDefault="00000000" w:rsidP="00A726DC">
            <w:pPr>
              <w:spacing w:line="360" w:lineRule="auto"/>
              <w:ind w:left="115"/>
              <w:jc w:val="both"/>
              <w:rPr>
                <w:rFonts w:ascii="Garamond" w:hAnsi="Garamond"/>
                <w:sz w:val="20"/>
                <w:szCs w:val="20"/>
              </w:rPr>
            </w:pPr>
            <w:r w:rsidRPr="00A726DC">
              <w:rPr>
                <w:rFonts w:ascii="Garamond" w:hAnsi="Garamond"/>
                <w:sz w:val="20"/>
                <w:szCs w:val="20"/>
              </w:rPr>
              <w:t>• Sour-gas and hydrocarbon compatibility after pretreatment.</w:t>
            </w:r>
          </w:p>
          <w:p w14:paraId="1F75E828" w14:textId="77777777" w:rsidR="0041273E" w:rsidRPr="00A726DC" w:rsidRDefault="00000000" w:rsidP="00A726DC">
            <w:pPr>
              <w:spacing w:line="360" w:lineRule="auto"/>
              <w:ind w:left="115"/>
              <w:jc w:val="both"/>
              <w:rPr>
                <w:rFonts w:ascii="Garamond" w:hAnsi="Garamond"/>
                <w:sz w:val="20"/>
                <w:szCs w:val="20"/>
              </w:rPr>
            </w:pPr>
            <w:r w:rsidRPr="00A726DC">
              <w:rPr>
                <w:rFonts w:ascii="Garamond" w:hAnsi="Garamond"/>
                <w:sz w:val="20"/>
                <w:szCs w:val="20"/>
              </w:rPr>
              <w:t>• Module/seal compatibility with pressure, temperature, and field contaminants.</w:t>
            </w:r>
          </w:p>
        </w:tc>
        <w:tc>
          <w:tcPr>
            <w:tcW w:w="5256" w:type="dxa"/>
            <w:tcBorders>
              <w:top w:val="single" w:sz="8" w:space="0" w:color="D8EAF5"/>
              <w:left w:val="single" w:sz="8" w:space="0" w:color="D8EAF5"/>
              <w:bottom w:val="single" w:sz="8" w:space="0" w:color="D8EAF5"/>
              <w:right w:val="single" w:sz="8" w:space="0" w:color="D8EAF5"/>
            </w:tcBorders>
            <w:shd w:val="clear" w:color="auto" w:fill="F8FCF8"/>
          </w:tcPr>
          <w:p w14:paraId="0957F6F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1F4E79"/>
                <w:sz w:val="20"/>
                <w:szCs w:val="20"/>
              </w:rPr>
              <w:t>PSA in simple language</w:t>
            </w:r>
          </w:p>
          <w:p w14:paraId="0EA915B4" w14:textId="03D67F2F"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PSA separates gases using beds packed with solid adsorbents. At high pressure, the adsorbents hold impurities such as CH4, N2, CO2, water, and heavier hydrocarbons more strongly than helium; helium passes through as the light product</w:t>
            </w:r>
            <w:r w:rsidR="00A726DC" w:rsidRPr="00A726DC">
              <w:rPr>
                <w:rFonts w:ascii="Garamond" w:hAnsi="Garamond"/>
                <w:sz w:val="20"/>
                <w:szCs w:val="20"/>
              </w:rPr>
              <w:t>, due to inertness of He</w:t>
            </w:r>
            <w:r w:rsidRPr="00A726DC">
              <w:rPr>
                <w:rFonts w:ascii="Garamond" w:hAnsi="Garamond"/>
                <w:sz w:val="20"/>
                <w:szCs w:val="20"/>
              </w:rPr>
              <w:t>. At low pressure, the bed is regenerated and the captured impurities are released.</w:t>
            </w:r>
          </w:p>
          <w:p w14:paraId="07B25CEE"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Typical PSA bed materials include activated carbon, zeolite molecular sieves, carbon molecular sieves, and sometimes alumina or silica gel for water/CO2 guard service. The final adsorbent choice depends on the actual gas composition and the required helium recovery.</w:t>
            </w:r>
            <w:r w:rsidRPr="00A726DC">
              <w:rPr>
                <w:rFonts w:ascii="Garamond" w:hAnsi="Garamond"/>
                <w:color w:val="1F4E79"/>
                <w:sz w:val="20"/>
                <w:szCs w:val="20"/>
                <w:vertAlign w:val="superscript"/>
              </w:rPr>
              <w:t xml:space="preserve"> [6]</w:t>
            </w:r>
          </w:p>
        </w:tc>
      </w:tr>
    </w:tbl>
    <w:p w14:paraId="2A193136" w14:textId="77777777" w:rsidR="00A726DC" w:rsidRDefault="00A726DC" w:rsidP="00A726DC">
      <w:pPr>
        <w:spacing w:after="0" w:line="360" w:lineRule="auto"/>
        <w:jc w:val="both"/>
        <w:rPr>
          <w:rFonts w:ascii="Garamond" w:hAnsi="Garamond"/>
          <w:b/>
          <w:color w:val="1F4E79"/>
          <w:sz w:val="20"/>
          <w:szCs w:val="20"/>
        </w:rPr>
      </w:pPr>
    </w:p>
    <w:p w14:paraId="083BBA35" w14:textId="13BF39CD" w:rsidR="0041273E" w:rsidRPr="00A726DC" w:rsidRDefault="00000000" w:rsidP="00A726DC">
      <w:pPr>
        <w:spacing w:after="0" w:line="360" w:lineRule="auto"/>
        <w:jc w:val="both"/>
        <w:rPr>
          <w:rFonts w:ascii="Garamond" w:hAnsi="Garamond"/>
          <w:sz w:val="20"/>
          <w:szCs w:val="20"/>
        </w:rPr>
      </w:pPr>
      <w:r w:rsidRPr="00A726DC">
        <w:rPr>
          <w:rFonts w:ascii="Garamond" w:hAnsi="Garamond"/>
          <w:b/>
          <w:color w:val="1F4E79"/>
          <w:sz w:val="20"/>
          <w:szCs w:val="20"/>
        </w:rPr>
        <w:t xml:space="preserve">Why </w:t>
      </w:r>
      <w:proofErr w:type="gramStart"/>
      <w:r w:rsidRPr="00A726DC">
        <w:rPr>
          <w:rFonts w:ascii="Garamond" w:hAnsi="Garamond"/>
          <w:b/>
          <w:color w:val="1F4E79"/>
          <w:sz w:val="20"/>
          <w:szCs w:val="20"/>
        </w:rPr>
        <w:t>membrane + PSA is</w:t>
      </w:r>
      <w:proofErr w:type="gramEnd"/>
      <w:r w:rsidRPr="00A726DC">
        <w:rPr>
          <w:rFonts w:ascii="Garamond" w:hAnsi="Garamond"/>
          <w:b/>
          <w:color w:val="1F4E79"/>
          <w:sz w:val="20"/>
          <w:szCs w:val="20"/>
        </w:rPr>
        <w:t xml:space="preserve"> stronger </w:t>
      </w:r>
      <w:proofErr w:type="gramStart"/>
      <w:r w:rsidRPr="00A726DC">
        <w:rPr>
          <w:rFonts w:ascii="Garamond" w:hAnsi="Garamond"/>
          <w:b/>
          <w:color w:val="1F4E79"/>
          <w:sz w:val="20"/>
          <w:szCs w:val="20"/>
        </w:rPr>
        <w:t>than either</w:t>
      </w:r>
      <w:proofErr w:type="gramEnd"/>
      <w:r w:rsidRPr="00A726DC">
        <w:rPr>
          <w:rFonts w:ascii="Garamond" w:hAnsi="Garamond"/>
          <w:b/>
          <w:color w:val="1F4E79"/>
          <w:sz w:val="20"/>
          <w:szCs w:val="20"/>
        </w:rPr>
        <w:t xml:space="preserve"> technology alone</w:t>
      </w:r>
    </w:p>
    <w:tbl>
      <w:tblPr>
        <w:tblStyle w:val="TableGrid"/>
        <w:tblW w:w="0" w:type="auto"/>
        <w:jc w:val="center"/>
        <w:tblLook w:val="04A0" w:firstRow="1" w:lastRow="0" w:firstColumn="1" w:lastColumn="0" w:noHBand="0" w:noVBand="1"/>
      </w:tblPr>
      <w:tblGrid>
        <w:gridCol w:w="1728"/>
        <w:gridCol w:w="2736"/>
        <w:gridCol w:w="2880"/>
        <w:gridCol w:w="3312"/>
      </w:tblGrid>
      <w:tr w:rsidR="0041273E" w:rsidRPr="00A726DC" w14:paraId="6DE6D828" w14:textId="77777777">
        <w:trPr>
          <w:jc w:val="center"/>
        </w:trPr>
        <w:tc>
          <w:tcPr>
            <w:tcW w:w="1728" w:type="dxa"/>
            <w:shd w:val="clear" w:color="auto" w:fill="1F4E79"/>
          </w:tcPr>
          <w:p w14:paraId="766329B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Route</w:t>
            </w:r>
          </w:p>
        </w:tc>
        <w:tc>
          <w:tcPr>
            <w:tcW w:w="2736" w:type="dxa"/>
            <w:shd w:val="clear" w:color="auto" w:fill="1F4E79"/>
          </w:tcPr>
          <w:p w14:paraId="55434C1B"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Strength</w:t>
            </w:r>
          </w:p>
        </w:tc>
        <w:tc>
          <w:tcPr>
            <w:tcW w:w="2880" w:type="dxa"/>
            <w:shd w:val="clear" w:color="auto" w:fill="1F4E79"/>
          </w:tcPr>
          <w:p w14:paraId="11CB9BB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Weakness</w:t>
            </w:r>
          </w:p>
        </w:tc>
        <w:tc>
          <w:tcPr>
            <w:tcW w:w="3312" w:type="dxa"/>
            <w:shd w:val="clear" w:color="auto" w:fill="1F4E79"/>
          </w:tcPr>
          <w:p w14:paraId="4B21E1F9"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FFFFFF"/>
                <w:sz w:val="20"/>
                <w:szCs w:val="20"/>
              </w:rPr>
              <w:t>Strategic fit</w:t>
            </w:r>
          </w:p>
        </w:tc>
      </w:tr>
      <w:tr w:rsidR="0041273E" w:rsidRPr="00A726DC" w14:paraId="0EF31B57" w14:textId="77777777">
        <w:trPr>
          <w:jc w:val="center"/>
        </w:trPr>
        <w:tc>
          <w:tcPr>
            <w:tcW w:w="1728" w:type="dxa"/>
            <w:shd w:val="clear" w:color="auto" w:fill="EEF4FA"/>
          </w:tcPr>
          <w:p w14:paraId="4BFF7A68"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Membrane-only</w:t>
            </w:r>
          </w:p>
        </w:tc>
        <w:tc>
          <w:tcPr>
            <w:tcW w:w="2736" w:type="dxa"/>
          </w:tcPr>
          <w:p w14:paraId="2307B5A2"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Compact, modular, continuous</w:t>
            </w:r>
          </w:p>
        </w:tc>
        <w:tc>
          <w:tcPr>
            <w:tcW w:w="2880" w:type="dxa"/>
          </w:tcPr>
          <w:p w14:paraId="79CFD71F"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Hard to reach final purity from dilute feed</w:t>
            </w:r>
          </w:p>
        </w:tc>
        <w:tc>
          <w:tcPr>
            <w:tcW w:w="3312" w:type="dxa"/>
          </w:tcPr>
          <w:p w14:paraId="357CC735"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Good for pre-concentration</w:t>
            </w:r>
          </w:p>
        </w:tc>
      </w:tr>
      <w:tr w:rsidR="0041273E" w:rsidRPr="00A726DC" w14:paraId="20E754AD" w14:textId="77777777">
        <w:trPr>
          <w:jc w:val="center"/>
        </w:trPr>
        <w:tc>
          <w:tcPr>
            <w:tcW w:w="1728" w:type="dxa"/>
            <w:shd w:val="clear" w:color="auto" w:fill="EEF4FA"/>
          </w:tcPr>
          <w:p w14:paraId="1F6C9F57"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PSA-only</w:t>
            </w:r>
          </w:p>
        </w:tc>
        <w:tc>
          <w:tcPr>
            <w:tcW w:w="2736" w:type="dxa"/>
          </w:tcPr>
          <w:p w14:paraId="25299211"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Can reach high helium purity</w:t>
            </w:r>
          </w:p>
        </w:tc>
        <w:tc>
          <w:tcPr>
            <w:tcW w:w="2880" w:type="dxa"/>
          </w:tcPr>
          <w:p w14:paraId="46D55843"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Too large/expensive on raw dilute gas</w:t>
            </w:r>
          </w:p>
        </w:tc>
        <w:tc>
          <w:tcPr>
            <w:tcW w:w="3312" w:type="dxa"/>
          </w:tcPr>
          <w:p w14:paraId="01A7E42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Good for polishing</w:t>
            </w:r>
          </w:p>
        </w:tc>
      </w:tr>
      <w:tr w:rsidR="0041273E" w:rsidRPr="00A726DC" w14:paraId="3DB9724B" w14:textId="77777777">
        <w:trPr>
          <w:jc w:val="center"/>
        </w:trPr>
        <w:tc>
          <w:tcPr>
            <w:tcW w:w="1728" w:type="dxa"/>
            <w:shd w:val="clear" w:color="auto" w:fill="EEF4FA"/>
          </w:tcPr>
          <w:p w14:paraId="65A83B67"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Hybrid</w:t>
            </w:r>
          </w:p>
        </w:tc>
        <w:tc>
          <w:tcPr>
            <w:tcW w:w="2736" w:type="dxa"/>
          </w:tcPr>
          <w:p w14:paraId="01FBB97F"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Small PSA load, modular deployment</w:t>
            </w:r>
          </w:p>
        </w:tc>
        <w:tc>
          <w:tcPr>
            <w:tcW w:w="2880" w:type="dxa"/>
          </w:tcPr>
          <w:p w14:paraId="3107FB7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Needs pretreatment and real field validation</w:t>
            </w:r>
          </w:p>
        </w:tc>
        <w:tc>
          <w:tcPr>
            <w:tcW w:w="3312" w:type="dxa"/>
          </w:tcPr>
          <w:p w14:paraId="1A4755F6"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xml:space="preserve">Best concept for </w:t>
            </w:r>
            <w:proofErr w:type="gramStart"/>
            <w:r w:rsidRPr="00A726DC">
              <w:rPr>
                <w:rFonts w:ascii="Garamond" w:hAnsi="Garamond"/>
                <w:sz w:val="20"/>
                <w:szCs w:val="20"/>
              </w:rPr>
              <w:t>selected</w:t>
            </w:r>
            <w:proofErr w:type="gramEnd"/>
            <w:r w:rsidRPr="00A726DC">
              <w:rPr>
                <w:rFonts w:ascii="Garamond" w:hAnsi="Garamond"/>
                <w:sz w:val="20"/>
                <w:szCs w:val="20"/>
              </w:rPr>
              <w:t xml:space="preserve"> Alberta sites</w:t>
            </w:r>
          </w:p>
        </w:tc>
      </w:tr>
    </w:tbl>
    <w:p w14:paraId="0E627C5E" w14:textId="77777777" w:rsidR="0041273E" w:rsidRPr="00A726DC" w:rsidRDefault="00000000" w:rsidP="00A726DC">
      <w:pPr>
        <w:spacing w:after="40" w:line="360" w:lineRule="auto"/>
        <w:jc w:val="both"/>
        <w:rPr>
          <w:rFonts w:ascii="Garamond" w:hAnsi="Garamond"/>
          <w:sz w:val="20"/>
          <w:szCs w:val="20"/>
        </w:rPr>
      </w:pPr>
      <w:r w:rsidRPr="00A726DC">
        <w:rPr>
          <w:rFonts w:ascii="Garamond" w:hAnsi="Garamond"/>
          <w:b/>
          <w:color w:val="A05000"/>
          <w:sz w:val="20"/>
          <w:szCs w:val="20"/>
        </w:rPr>
        <w:t xml:space="preserve">Critical design point. </w:t>
      </w:r>
      <w:r w:rsidRPr="00A726DC">
        <w:rPr>
          <w:rFonts w:ascii="Garamond" w:hAnsi="Garamond"/>
          <w:sz w:val="20"/>
          <w:szCs w:val="20"/>
        </w:rPr>
        <w:t xml:space="preserve">For low-helium natural gas, membrane separation is limited by helium partial pressure. That means high pressure, </w:t>
      </w:r>
      <w:proofErr w:type="gramStart"/>
      <w:r w:rsidRPr="00A726DC">
        <w:rPr>
          <w:rFonts w:ascii="Garamond" w:hAnsi="Garamond"/>
          <w:sz w:val="20"/>
          <w:szCs w:val="20"/>
        </w:rPr>
        <w:t>recycle</w:t>
      </w:r>
      <w:proofErr w:type="gramEnd"/>
      <w:r w:rsidRPr="00A726DC">
        <w:rPr>
          <w:rFonts w:ascii="Garamond" w:hAnsi="Garamond"/>
          <w:sz w:val="20"/>
          <w:szCs w:val="20"/>
        </w:rPr>
        <w:t xml:space="preserve">, and multi-stage design become important. Published process simulations found direct membrane recovery </w:t>
      </w:r>
      <w:proofErr w:type="gramStart"/>
      <w:r w:rsidRPr="00A726DC">
        <w:rPr>
          <w:rFonts w:ascii="Garamond" w:hAnsi="Garamond"/>
          <w:sz w:val="20"/>
          <w:szCs w:val="20"/>
        </w:rPr>
        <w:t>becomes</w:t>
      </w:r>
      <w:proofErr w:type="gramEnd"/>
      <w:r w:rsidRPr="00A726DC">
        <w:rPr>
          <w:rFonts w:ascii="Garamond" w:hAnsi="Garamond"/>
          <w:sz w:val="20"/>
          <w:szCs w:val="20"/>
        </w:rPr>
        <w:t xml:space="preserve"> more viable at higher helium feed concentrations and high pressure, while lower-quality fields require better He/CH4 selectivity.</w:t>
      </w:r>
      <w:r w:rsidRPr="00A726DC">
        <w:rPr>
          <w:rFonts w:ascii="Garamond" w:hAnsi="Garamond"/>
          <w:color w:val="1F4E79"/>
          <w:sz w:val="20"/>
          <w:szCs w:val="20"/>
          <w:vertAlign w:val="superscript"/>
        </w:rPr>
        <w:t xml:space="preserve"> [4]</w:t>
      </w:r>
    </w:p>
    <w:p w14:paraId="7349E2CF" w14:textId="77777777" w:rsidR="0041273E" w:rsidRPr="00A726DC" w:rsidRDefault="0041273E" w:rsidP="00A726DC">
      <w:pPr>
        <w:pageBreakBefore/>
        <w:spacing w:line="360" w:lineRule="auto"/>
        <w:jc w:val="both"/>
        <w:rPr>
          <w:rFonts w:ascii="Garamond" w:hAnsi="Garamond"/>
          <w:sz w:val="20"/>
          <w:szCs w:val="20"/>
        </w:rPr>
      </w:pPr>
    </w:p>
    <w:p w14:paraId="748F1608" w14:textId="77777777" w:rsidR="0041273E" w:rsidRPr="00A726DC" w:rsidRDefault="00000000" w:rsidP="00A726DC">
      <w:pPr>
        <w:spacing w:after="40" w:line="360" w:lineRule="auto"/>
        <w:jc w:val="both"/>
        <w:rPr>
          <w:rFonts w:ascii="Garamond" w:hAnsi="Garamond"/>
          <w:sz w:val="20"/>
          <w:szCs w:val="20"/>
        </w:rPr>
      </w:pPr>
      <w:r w:rsidRPr="00A726DC">
        <w:rPr>
          <w:rFonts w:ascii="Garamond" w:hAnsi="Garamond"/>
          <w:b/>
          <w:color w:val="1F4E79"/>
          <w:sz w:val="20"/>
          <w:szCs w:val="20"/>
        </w:rPr>
        <w:t>Alberta Deployment and Pilot Plan</w:t>
      </w:r>
    </w:p>
    <w:p w14:paraId="304D3468" w14:textId="77777777" w:rsidR="0041273E" w:rsidRPr="00A726DC" w:rsidRDefault="00000000" w:rsidP="00A726DC">
      <w:pPr>
        <w:spacing w:after="60" w:line="360" w:lineRule="auto"/>
        <w:jc w:val="both"/>
        <w:rPr>
          <w:rFonts w:ascii="Garamond" w:hAnsi="Garamond"/>
          <w:sz w:val="20"/>
          <w:szCs w:val="20"/>
        </w:rPr>
      </w:pPr>
      <w:r w:rsidRPr="00A726DC">
        <w:rPr>
          <w:rFonts w:ascii="Garamond" w:hAnsi="Garamond"/>
          <w:sz w:val="20"/>
          <w:szCs w:val="20"/>
        </w:rPr>
        <w:t>The best commercial strategy is a selective deployment model, not a province-wide claim. The first pilot should target a gas plant or compressor station with enough helium, existing pressure, manageable contaminants, and a producer willing to test a low-disruption revenue-share model. The offer to producers should be simple: no major process interruption, low upfront burden, and shared upside from helium that is otherwise lost or under-monetized.</w:t>
      </w:r>
    </w:p>
    <w:p w14:paraId="1CE04B3B" w14:textId="77777777" w:rsidR="0041273E" w:rsidRPr="00A726DC" w:rsidRDefault="00000000" w:rsidP="00A726DC">
      <w:pPr>
        <w:spacing w:line="360" w:lineRule="auto"/>
        <w:jc w:val="both"/>
        <w:rPr>
          <w:rFonts w:ascii="Garamond" w:hAnsi="Garamond"/>
          <w:sz w:val="20"/>
          <w:szCs w:val="20"/>
        </w:rPr>
      </w:pPr>
      <w:r w:rsidRPr="00A726DC">
        <w:rPr>
          <w:rFonts w:ascii="Garamond" w:hAnsi="Garamond"/>
          <w:noProof/>
          <w:sz w:val="20"/>
          <w:szCs w:val="20"/>
        </w:rPr>
        <w:drawing>
          <wp:inline distT="0" distB="0" distL="0" distR="0" wp14:anchorId="6235A9AA" wp14:editId="3FBAB9CC">
            <wp:extent cx="6446520" cy="1971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ium_deployment_scheme.png"/>
                    <pic:cNvPicPr/>
                  </pic:nvPicPr>
                  <pic:blipFill>
                    <a:blip r:embed="rId9"/>
                    <a:stretch>
                      <a:fillRect/>
                    </a:stretch>
                  </pic:blipFill>
                  <pic:spPr>
                    <a:xfrm>
                      <a:off x="0" y="0"/>
                      <a:ext cx="6446520" cy="1971877"/>
                    </a:xfrm>
                    <a:prstGeom prst="rect">
                      <a:avLst/>
                    </a:prstGeom>
                  </pic:spPr>
                </pic:pic>
              </a:graphicData>
            </a:graphic>
          </wp:inline>
        </w:drawing>
      </w:r>
    </w:p>
    <w:p w14:paraId="63B2DAEB" w14:textId="77777777" w:rsidR="0041273E" w:rsidRPr="00A726DC" w:rsidRDefault="00000000" w:rsidP="00A726DC">
      <w:pPr>
        <w:spacing w:line="360" w:lineRule="auto"/>
        <w:jc w:val="both"/>
        <w:rPr>
          <w:rFonts w:ascii="Garamond" w:hAnsi="Garamond"/>
          <w:sz w:val="20"/>
          <w:szCs w:val="20"/>
        </w:rPr>
      </w:pPr>
      <w:r w:rsidRPr="00A726DC">
        <w:rPr>
          <w:rFonts w:ascii="Garamond" w:hAnsi="Garamond"/>
          <w:i/>
          <w:color w:val="696969"/>
          <w:sz w:val="20"/>
          <w:szCs w:val="20"/>
        </w:rPr>
        <w:t>Figure 2. Distributed membrane skids can feed crude helium to a central PSA/compression hub.</w:t>
      </w:r>
    </w:p>
    <w:tbl>
      <w:tblPr>
        <w:tblW w:w="0" w:type="auto"/>
        <w:jc w:val="center"/>
        <w:tblLook w:val="04A0" w:firstRow="1" w:lastRow="0" w:firstColumn="1" w:lastColumn="0" w:noHBand="0" w:noVBand="1"/>
      </w:tblPr>
      <w:tblGrid>
        <w:gridCol w:w="5256"/>
        <w:gridCol w:w="5400"/>
      </w:tblGrid>
      <w:tr w:rsidR="0041273E" w:rsidRPr="00A726DC" w14:paraId="477C94CF" w14:textId="77777777">
        <w:trPr>
          <w:jc w:val="center"/>
        </w:trPr>
        <w:tc>
          <w:tcPr>
            <w:tcW w:w="5256" w:type="dxa"/>
            <w:tcBorders>
              <w:top w:val="single" w:sz="8" w:space="0" w:color="E1E1E1"/>
              <w:left w:val="single" w:sz="8" w:space="0" w:color="E1E1E1"/>
              <w:bottom w:val="single" w:sz="8" w:space="0" w:color="E1E1E1"/>
              <w:right w:val="single" w:sz="8" w:space="0" w:color="E1E1E1"/>
            </w:tcBorders>
            <w:shd w:val="clear" w:color="auto" w:fill="F7FBFE"/>
          </w:tcPr>
          <w:p w14:paraId="5F8543F5"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1F4E79"/>
                <w:sz w:val="20"/>
                <w:szCs w:val="20"/>
              </w:rPr>
              <w:t>Preferred pilot site</w:t>
            </w:r>
          </w:p>
          <w:p w14:paraId="168CFF0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He concentration &gt;=0.3%, ideally &gt;=0.5%.</w:t>
            </w:r>
          </w:p>
          <w:p w14:paraId="3A1F532E" w14:textId="77777777" w:rsidR="0041273E" w:rsidRPr="00A726DC" w:rsidRDefault="00000000" w:rsidP="00A726DC">
            <w:pPr>
              <w:spacing w:line="360" w:lineRule="auto"/>
              <w:jc w:val="both"/>
              <w:rPr>
                <w:rFonts w:ascii="Garamond" w:hAnsi="Garamond"/>
                <w:sz w:val="20"/>
                <w:szCs w:val="20"/>
              </w:rPr>
            </w:pPr>
            <w:proofErr w:type="gramStart"/>
            <w:r w:rsidRPr="00A726DC">
              <w:rPr>
                <w:rFonts w:ascii="Garamond" w:hAnsi="Garamond"/>
                <w:sz w:val="20"/>
                <w:szCs w:val="20"/>
              </w:rPr>
              <w:t>• Useful existing feed</w:t>
            </w:r>
            <w:proofErr w:type="gramEnd"/>
            <w:r w:rsidRPr="00A726DC">
              <w:rPr>
                <w:rFonts w:ascii="Garamond" w:hAnsi="Garamond"/>
                <w:sz w:val="20"/>
                <w:szCs w:val="20"/>
              </w:rPr>
              <w:t xml:space="preserve"> pressure.</w:t>
            </w:r>
          </w:p>
          <w:p w14:paraId="5EC6DDAE"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Dry, pretreated gas or easy pretreatment retrofit.</w:t>
            </w:r>
          </w:p>
          <w:p w14:paraId="0E33517A"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Low liquids, low oil mist, controlled H2S and CO2.</w:t>
            </w:r>
          </w:p>
          <w:p w14:paraId="61C9730F"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xml:space="preserve">• Clear route for PSA </w:t>
            </w:r>
            <w:proofErr w:type="gramStart"/>
            <w:r w:rsidRPr="00A726DC">
              <w:rPr>
                <w:rFonts w:ascii="Garamond" w:hAnsi="Garamond"/>
                <w:sz w:val="20"/>
                <w:szCs w:val="20"/>
              </w:rPr>
              <w:t>product</w:t>
            </w:r>
            <w:proofErr w:type="gramEnd"/>
            <w:r w:rsidRPr="00A726DC">
              <w:rPr>
                <w:rFonts w:ascii="Garamond" w:hAnsi="Garamond"/>
                <w:sz w:val="20"/>
                <w:szCs w:val="20"/>
              </w:rPr>
              <w:t>, compression, transport, or central polishing.</w:t>
            </w:r>
          </w:p>
        </w:tc>
        <w:tc>
          <w:tcPr>
            <w:tcW w:w="5256" w:type="dxa"/>
            <w:tcBorders>
              <w:top w:val="single" w:sz="8" w:space="0" w:color="E1E1E1"/>
              <w:left w:val="single" w:sz="8" w:space="0" w:color="E1E1E1"/>
              <w:bottom w:val="single" w:sz="8" w:space="0" w:color="E1E1E1"/>
              <w:right w:val="single" w:sz="8" w:space="0" w:color="E1E1E1"/>
            </w:tcBorders>
            <w:shd w:val="clear" w:color="auto" w:fill="FFF8F0"/>
          </w:tcPr>
          <w:p w14:paraId="084FFA11"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A05000"/>
                <w:sz w:val="20"/>
                <w:szCs w:val="20"/>
              </w:rPr>
              <w:t>Main risks to validate</w:t>
            </w:r>
          </w:p>
          <w:p w14:paraId="7F391C1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Mixed-gas membrane selectivity under real field gas.</w:t>
            </w:r>
          </w:p>
          <w:p w14:paraId="4CF6935D"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Pretreatment cost and pressure drop.</w:t>
            </w:r>
          </w:p>
          <w:p w14:paraId="2A8032E0"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Helium recovery loss across membrane and PSA stages.</w:t>
            </w:r>
          </w:p>
          <w:p w14:paraId="132C77EC"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Compression energy and membrane replacement cost.</w:t>
            </w:r>
          </w:p>
          <w:p w14:paraId="2C014338" w14:textId="77777777" w:rsidR="0041273E" w:rsidRPr="00A726DC" w:rsidRDefault="00000000" w:rsidP="00A726DC">
            <w:pPr>
              <w:spacing w:line="360" w:lineRule="auto"/>
              <w:jc w:val="both"/>
              <w:rPr>
                <w:rFonts w:ascii="Garamond" w:hAnsi="Garamond"/>
                <w:sz w:val="20"/>
                <w:szCs w:val="20"/>
              </w:rPr>
            </w:pPr>
            <w:r w:rsidRPr="00A726DC">
              <w:rPr>
                <w:rFonts w:ascii="Garamond" w:hAnsi="Garamond"/>
                <w:sz w:val="20"/>
                <w:szCs w:val="20"/>
              </w:rPr>
              <w:t>• Actual helium offtake price and logistics.</w:t>
            </w:r>
          </w:p>
        </w:tc>
      </w:tr>
      <w:tr w:rsidR="0041273E" w:rsidRPr="00A726DC" w14:paraId="027A5054" w14:textId="77777777">
        <w:trPr>
          <w:jc w:val="center"/>
        </w:trPr>
        <w:tc>
          <w:tcPr>
            <w:tcW w:w="10656" w:type="dxa"/>
            <w:gridSpan w:val="2"/>
            <w:tcBorders>
              <w:top w:val="single" w:sz="8" w:space="0" w:color="D9EAF7"/>
              <w:left w:val="single" w:sz="8" w:space="0" w:color="D9EAF7"/>
              <w:bottom w:val="single" w:sz="8" w:space="0" w:color="D9EAF7"/>
              <w:right w:val="single" w:sz="8" w:space="0" w:color="D9EAF7"/>
            </w:tcBorders>
            <w:shd w:val="clear" w:color="auto" w:fill="EAF2F8"/>
          </w:tcPr>
          <w:p w14:paraId="11659E65" w14:textId="77777777" w:rsidR="0041273E" w:rsidRPr="00A726DC" w:rsidRDefault="00000000" w:rsidP="00A726DC">
            <w:pPr>
              <w:spacing w:line="360" w:lineRule="auto"/>
              <w:jc w:val="both"/>
              <w:rPr>
                <w:rFonts w:ascii="Garamond" w:hAnsi="Garamond"/>
                <w:sz w:val="20"/>
                <w:szCs w:val="20"/>
              </w:rPr>
            </w:pPr>
            <w:r w:rsidRPr="00A726DC">
              <w:rPr>
                <w:rFonts w:ascii="Garamond" w:hAnsi="Garamond"/>
                <w:b/>
                <w:color w:val="1F4E79"/>
                <w:sz w:val="20"/>
                <w:szCs w:val="20"/>
              </w:rPr>
              <w:t xml:space="preserve">Conclusion. </w:t>
            </w:r>
            <w:r w:rsidRPr="00A726DC">
              <w:rPr>
                <w:rFonts w:ascii="Garamond" w:hAnsi="Garamond"/>
                <w:color w:val="2E4053"/>
                <w:sz w:val="20"/>
                <w:szCs w:val="20"/>
              </w:rPr>
              <w:t>The membrane should do bulk enrichment; PSA should do final purification. This division of labor is the core value of the hybrid method. The next step should be a pilot techno-economic model using actual Alberta gas composition, real pressure, flowrate, contaminants, membrane performance, PSA recovery, and helium offtake price.</w:t>
            </w:r>
          </w:p>
        </w:tc>
      </w:tr>
    </w:tbl>
    <w:p w14:paraId="29684C82" w14:textId="77777777" w:rsidR="0041273E" w:rsidRPr="00A726DC" w:rsidRDefault="00000000" w:rsidP="00A726DC">
      <w:pPr>
        <w:spacing w:before="60" w:after="0" w:line="360" w:lineRule="auto"/>
        <w:jc w:val="both"/>
        <w:rPr>
          <w:rFonts w:ascii="Garamond" w:hAnsi="Garamond"/>
          <w:sz w:val="20"/>
          <w:szCs w:val="20"/>
        </w:rPr>
      </w:pPr>
      <w:r w:rsidRPr="00A726DC">
        <w:rPr>
          <w:rFonts w:ascii="Garamond" w:hAnsi="Garamond"/>
          <w:b/>
          <w:color w:val="1F4E79"/>
          <w:sz w:val="20"/>
          <w:szCs w:val="20"/>
        </w:rPr>
        <w:t>References</w:t>
      </w:r>
    </w:p>
    <w:p w14:paraId="214BCE3A"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[1] Alberta Energy Regulator, ST98 Alberta Energy Outlook 2025, Emerging Resources - Helium. </w:t>
      </w:r>
      <w:hyperlink r:id="rId10">
        <w:r w:rsidRPr="00A726DC">
          <w:rPr>
            <w:rFonts w:ascii="Garamond" w:hAnsi="Garamond"/>
            <w:color w:val="1F4E79"/>
            <w:sz w:val="20"/>
            <w:szCs w:val="20"/>
            <w:u w:val="single"/>
          </w:rPr>
          <w:t>link</w:t>
        </w:r>
      </w:hyperlink>
    </w:p>
    <w:p w14:paraId="74335DFC"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[2] Canada Energy Regulator, Market Snapshot: Helium - It is not just for balloons. </w:t>
      </w:r>
      <w:hyperlink r:id="rId11">
        <w:r w:rsidRPr="00A726DC">
          <w:rPr>
            <w:rFonts w:ascii="Garamond" w:hAnsi="Garamond"/>
            <w:color w:val="1F4E79"/>
            <w:sz w:val="20"/>
            <w:szCs w:val="20"/>
            <w:u w:val="single"/>
          </w:rPr>
          <w:t>link</w:t>
        </w:r>
      </w:hyperlink>
    </w:p>
    <w:p w14:paraId="71A9815B"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[3] U.S. Geological Survey, Mineral Commodity Summaries 2026 - Helium and Rare Gases. </w:t>
      </w:r>
      <w:hyperlink r:id="rId12">
        <w:r w:rsidRPr="00A726DC">
          <w:rPr>
            <w:rFonts w:ascii="Garamond" w:hAnsi="Garamond"/>
            <w:color w:val="1F4E79"/>
            <w:sz w:val="20"/>
            <w:szCs w:val="20"/>
            <w:u w:val="single"/>
          </w:rPr>
          <w:t>link</w:t>
        </w:r>
      </w:hyperlink>
    </w:p>
    <w:p w14:paraId="0ED48728"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[4] Scholes, C. A. Helium separation through polymeric membranes, Journal of Membrane Science, 2016. </w:t>
      </w:r>
      <w:hyperlink r:id="rId13">
        <w:r w:rsidRPr="00A726DC">
          <w:rPr>
            <w:rFonts w:ascii="Garamond" w:hAnsi="Garamond"/>
            <w:color w:val="1F4E79"/>
            <w:sz w:val="20"/>
            <w:szCs w:val="20"/>
            <w:u w:val="single"/>
          </w:rPr>
          <w:t>link</w:t>
        </w:r>
      </w:hyperlink>
    </w:p>
    <w:p w14:paraId="0A51D031"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[5] Scholes, C. A. Review of Membranes for Helium Separation and Purification, Membranes, 2017. </w:t>
      </w:r>
      <w:hyperlink r:id="rId14">
        <w:r w:rsidRPr="00A726DC">
          <w:rPr>
            <w:rFonts w:ascii="Garamond" w:hAnsi="Garamond"/>
            <w:color w:val="1F4E79"/>
            <w:sz w:val="20"/>
            <w:szCs w:val="20"/>
            <w:u w:val="single"/>
          </w:rPr>
          <w:t>link</w:t>
        </w:r>
      </w:hyperlink>
    </w:p>
    <w:p w14:paraId="7FACA64A" w14:textId="77777777" w:rsidR="0041273E" w:rsidRPr="00A726DC" w:rsidRDefault="00000000" w:rsidP="00A726DC">
      <w:pPr>
        <w:spacing w:after="0" w:line="360" w:lineRule="auto"/>
        <w:jc w:val="both"/>
        <w:rPr>
          <w:rFonts w:ascii="Garamond" w:hAnsi="Garamond"/>
          <w:sz w:val="20"/>
          <w:szCs w:val="20"/>
        </w:rPr>
      </w:pPr>
      <w:r w:rsidRPr="00A726DC">
        <w:rPr>
          <w:rFonts w:ascii="Garamond" w:hAnsi="Garamond"/>
          <w:color w:val="464646"/>
          <w:sz w:val="20"/>
          <w:szCs w:val="20"/>
        </w:rPr>
        <w:t xml:space="preserve">[6] Pressure Swing Adsorption </w:t>
      </w:r>
      <w:proofErr w:type="gramStart"/>
      <w:r w:rsidRPr="00A726DC">
        <w:rPr>
          <w:rFonts w:ascii="Garamond" w:hAnsi="Garamond"/>
          <w:color w:val="464646"/>
          <w:sz w:val="20"/>
          <w:szCs w:val="20"/>
        </w:rPr>
        <w:t>overview</w:t>
      </w:r>
      <w:proofErr w:type="gramEnd"/>
      <w:r w:rsidRPr="00A726DC">
        <w:rPr>
          <w:rFonts w:ascii="Garamond" w:hAnsi="Garamond"/>
          <w:color w:val="464646"/>
          <w:sz w:val="20"/>
          <w:szCs w:val="20"/>
        </w:rPr>
        <w:t xml:space="preserve">; common adsorbents include zeolites, activated carbon and molecular sieves. </w:t>
      </w:r>
      <w:hyperlink r:id="rId15">
        <w:r w:rsidRPr="00A726DC">
          <w:rPr>
            <w:rFonts w:ascii="Garamond" w:hAnsi="Garamond"/>
            <w:color w:val="1F4E79"/>
            <w:sz w:val="20"/>
            <w:szCs w:val="20"/>
            <w:u w:val="single"/>
          </w:rPr>
          <w:t>link</w:t>
        </w:r>
      </w:hyperlink>
    </w:p>
    <w:sectPr w:rsidR="0041273E" w:rsidRPr="00A726DC" w:rsidSect="00034616">
      <w:headerReference w:type="default" r:id="rId16"/>
      <w:footerReference w:type="default" r:id="rId17"/>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33FD" w14:textId="77777777" w:rsidR="001D7AE6" w:rsidRDefault="001D7AE6">
      <w:pPr>
        <w:spacing w:after="0" w:line="240" w:lineRule="auto"/>
      </w:pPr>
      <w:r>
        <w:separator/>
      </w:r>
    </w:p>
  </w:endnote>
  <w:endnote w:type="continuationSeparator" w:id="0">
    <w:p w14:paraId="380D9B91" w14:textId="77777777" w:rsidR="001D7AE6" w:rsidRDefault="001D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9D36" w14:textId="77777777" w:rsidR="0041273E" w:rsidRDefault="00000000">
    <w:pPr>
      <w:pStyle w:val="Footer"/>
      <w:jc w:val="center"/>
    </w:pPr>
    <w:r>
      <w:rPr>
        <w:color w:val="696969"/>
        <w:sz w:val="15"/>
      </w:rPr>
      <w:t>Internal technical/business concept note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4A24" w14:textId="77777777" w:rsidR="001D7AE6" w:rsidRDefault="001D7AE6">
      <w:pPr>
        <w:spacing w:after="0" w:line="240" w:lineRule="auto"/>
      </w:pPr>
      <w:r>
        <w:separator/>
      </w:r>
    </w:p>
  </w:footnote>
  <w:footnote w:type="continuationSeparator" w:id="0">
    <w:p w14:paraId="49987D5D" w14:textId="77777777" w:rsidR="001D7AE6" w:rsidRDefault="001D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799C" w14:textId="77777777" w:rsidR="0041273E" w:rsidRDefault="00000000">
    <w:pPr>
      <w:pStyle w:val="Header"/>
      <w:jc w:val="right"/>
    </w:pPr>
    <w:r>
      <w:rPr>
        <w:color w:val="696969"/>
        <w:sz w:val="15"/>
      </w:rPr>
      <w:t>Hybrid Helium Recovery in Alberta | Polymeric Membrane + PSA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245468">
    <w:abstractNumId w:val="8"/>
  </w:num>
  <w:num w:numId="2" w16cid:durableId="437064504">
    <w:abstractNumId w:val="6"/>
  </w:num>
  <w:num w:numId="3" w16cid:durableId="727462408">
    <w:abstractNumId w:val="5"/>
  </w:num>
  <w:num w:numId="4" w16cid:durableId="1114208381">
    <w:abstractNumId w:val="4"/>
  </w:num>
  <w:num w:numId="5" w16cid:durableId="2364871">
    <w:abstractNumId w:val="7"/>
  </w:num>
  <w:num w:numId="6" w16cid:durableId="757479210">
    <w:abstractNumId w:val="3"/>
  </w:num>
  <w:num w:numId="7" w16cid:durableId="1024095522">
    <w:abstractNumId w:val="2"/>
  </w:num>
  <w:num w:numId="8" w16cid:durableId="292441048">
    <w:abstractNumId w:val="1"/>
  </w:num>
  <w:num w:numId="9" w16cid:durableId="149051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AE6"/>
    <w:rsid w:val="0029639D"/>
    <w:rsid w:val="00326F90"/>
    <w:rsid w:val="0041273E"/>
    <w:rsid w:val="00A726DC"/>
    <w:rsid w:val="00AA1D8D"/>
    <w:rsid w:val="00B42A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318E7"/>
  <w14:defaultImageDpi w14:val="300"/>
  <w15:docId w15:val="{32E018D2-4734-465D-A009-E8B12E84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abs/pii/S037673881631163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s.usgs.gov/periodicals/mcs2026/mcs2026-helium.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r-rec.gc.ca/en/data-analysis/energy-markets/market-snapshots/2022/market-snapshot-helium-its-not-just-for-balloons.html" TargetMode="External"/><Relationship Id="rId5" Type="http://schemas.openxmlformats.org/officeDocument/2006/relationships/webSettings" Target="webSettings.xml"/><Relationship Id="rId15" Type="http://schemas.openxmlformats.org/officeDocument/2006/relationships/hyperlink" Target="https://www.sciencedirect.com/topics/engineering/pressure-swing-adsorption" TargetMode="External"/><Relationship Id="rId10" Type="http://schemas.openxmlformats.org/officeDocument/2006/relationships/hyperlink" Target="https://www.aer.ca/data-and-performance-reports/statistical-reports/alberta-energy-outlook-st98/emerging-resources/emerging-resources-heliu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5371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reza</cp:lastModifiedBy>
  <cp:revision>2</cp:revision>
  <dcterms:created xsi:type="dcterms:W3CDTF">2013-12-23T23:15:00Z</dcterms:created>
  <dcterms:modified xsi:type="dcterms:W3CDTF">2026-07-05T17:07:00Z</dcterms:modified>
  <cp:category/>
</cp:coreProperties>
</file>