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B24" w:rsidRPr="00817B24" w:rsidRDefault="00817B24" w:rsidP="00817B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817B2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HITUNG NILAI RAPORT</w:t>
      </w:r>
      <w:r w:rsidR="002B6F09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KTSP</w:t>
      </w:r>
    </w:p>
    <w:p w:rsidR="00817B24" w:rsidRDefault="00817B24" w:rsidP="00817B24">
      <w:pPr>
        <w:spacing w:after="0" w:line="240" w:lineRule="auto"/>
        <w:rPr>
          <w:rFonts w:ascii="inherit" w:eastAsia="Times New Roman" w:hAnsi="inherit" w:cs="Times New Roman"/>
          <w:color w:val="333333"/>
          <w:sz w:val="18"/>
          <w:szCs w:val="18"/>
          <w:shd w:val="clear" w:color="auto" w:fill="FFFFFF"/>
        </w:rPr>
      </w:pP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Misalnya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mata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pelajaran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proofErr w:type="gram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mempunyai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KKM 70.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Seorang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siswa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telah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menjalani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langan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harian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sebanyak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 kali,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masing-masing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memperoleh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817B2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60, 75, 65.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Kemudian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 kali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tugas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masing-masing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mendapat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817B2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80, 70, 85.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Selanjutnya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ujian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tengah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semester (UTS)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memperoleh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817B2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65.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Andaikata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pada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UUS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bulan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depan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mendapat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</w:t>
      </w:r>
      <w:r w:rsidRPr="00817B2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>75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persentase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penilaian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untuk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komponen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harian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(NH)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70 %, 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UTS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=10 %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UUS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20 %.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erapakah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raport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(NR)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siswa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apakah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ia</w:t>
      </w:r>
      <w:proofErr w:type="spellEnd"/>
      <w:proofErr w:type="gram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tuntas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pada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mata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pelajaran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tersebut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?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Penyelesaian</w:t>
      </w:r>
      <w:proofErr w:type="spellEnd"/>
      <w:proofErr w:type="gram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1. Rata-rata UH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= (60 + 75 +65)/3 = 66,6 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2. R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ata-rata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tugas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(80 + 70 +85)/3 = 78</w:t>
      </w:r>
      <w:proofErr w:type="gram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,3</w:t>
      </w:r>
      <w:proofErr w:type="gram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sehingga</w:t>
      </w:r>
      <w:proofErr w:type="spellEnd"/>
      <w:proofErr w:type="gram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harian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(NH)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siswa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adalah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  </w:t>
      </w:r>
    </w:p>
    <w:p w:rsidR="00817B24" w:rsidRPr="00817B24" w:rsidRDefault="00817B24" w:rsidP="00817B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rata-rata</w:t>
      </w:r>
      <w:proofErr w:type="gram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UH + rata-rata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Tugas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(66,6 + 78,3)/2 = 72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2.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Berdasarkan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formula yang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ada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ketentuan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penilaian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semester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menurut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kurikulum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sekolah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yang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bersangkutan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maka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diperoleh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817B24" w:rsidRPr="00817B24" w:rsidRDefault="00817B24" w:rsidP="00817B24">
      <w:pPr>
        <w:shd w:val="clear" w:color="auto" w:fill="CFE2F3"/>
        <w:spacing w:after="0" w:line="312" w:lineRule="atLeast"/>
        <w:jc w:val="both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</w:pPr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 xml:space="preserve">NR = </w:t>
      </w:r>
      <w:proofErr w:type="gramStart"/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>70%</w:t>
      </w:r>
      <w:proofErr w:type="gramEnd"/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>(72) + 10%(65) + 20%( 75)</w:t>
      </w:r>
    </w:p>
    <w:p w:rsidR="00817B24" w:rsidRPr="00817B24" w:rsidRDefault="00817B24" w:rsidP="00817B24">
      <w:pPr>
        <w:shd w:val="clear" w:color="auto" w:fill="CFE2F3"/>
        <w:spacing w:after="0" w:line="312" w:lineRule="atLeast"/>
        <w:jc w:val="both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</w:pPr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>      =0</w:t>
      </w:r>
      <w:proofErr w:type="gramStart"/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>,7</w:t>
      </w:r>
      <w:proofErr w:type="gramEnd"/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>(72) +0,1(65) +0,2(75)</w:t>
      </w:r>
    </w:p>
    <w:p w:rsidR="00817B24" w:rsidRPr="00817B24" w:rsidRDefault="00817B24" w:rsidP="00817B24">
      <w:pPr>
        <w:shd w:val="clear" w:color="auto" w:fill="CFE2F3"/>
        <w:spacing w:after="0" w:line="312" w:lineRule="atLeast"/>
        <w:jc w:val="both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</w:pPr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>      =50</w:t>
      </w:r>
      <w:proofErr w:type="gramStart"/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>,4</w:t>
      </w:r>
      <w:proofErr w:type="gramEnd"/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  <w:t xml:space="preserve"> + 6,5 + 15</w:t>
      </w:r>
    </w:p>
    <w:p w:rsidR="00817B24" w:rsidRPr="00817B24" w:rsidRDefault="00817B24" w:rsidP="00817B24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CFE2F3"/>
        </w:rPr>
      </w:pPr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CFE2F3"/>
        </w:rPr>
        <w:t>      =71</w:t>
      </w:r>
      <w:proofErr w:type="gramStart"/>
      <w:r w:rsidRPr="00817B24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shd w:val="clear" w:color="auto" w:fill="CFE2F3"/>
        </w:rPr>
        <w:t>,9</w:t>
      </w:r>
      <w:proofErr w:type="gramEnd"/>
    </w:p>
    <w:p w:rsidR="00817B24" w:rsidRPr="00817B24" w:rsidRDefault="00817B24" w:rsidP="00817B24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</w:rPr>
      </w:pPr>
    </w:p>
    <w:p w:rsidR="005F6088" w:rsidRDefault="00817B24" w:rsidP="00817B24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3.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Nilai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raport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siswa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adalah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71</w:t>
      </w:r>
      <w:proofErr w:type="gram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,9</w:t>
      </w:r>
      <w:proofErr w:type="gram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telah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tuntas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pada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mata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pelajaran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karena</w:t>
      </w:r>
      <w:proofErr w:type="spellEnd"/>
      <w:r w:rsidRPr="00817B2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KKM = 70</w:t>
      </w:r>
    </w:p>
    <w:p w:rsidR="002B6F09" w:rsidRDefault="002B6F09" w:rsidP="00817B24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B6F09" w:rsidRDefault="002B6F09" w:rsidP="00817B24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B6F09" w:rsidRDefault="002B6F09" w:rsidP="00817B24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B6F09" w:rsidRPr="00817B24" w:rsidRDefault="002B6F09" w:rsidP="002B6F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817B24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HITUNG NILAI RAPORT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K-13</w:t>
      </w:r>
    </w:p>
    <w:p w:rsidR="002B6F09" w:rsidRDefault="002B6F09" w:rsidP="002B6F09">
      <w:p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2B6F09" w:rsidRPr="002B6F09" w:rsidRDefault="002B6F09" w:rsidP="002B6F09">
      <w:p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kurikulum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2013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berbeda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KTSP,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walaupun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terdapat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perbedaan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namun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sebenarnya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sama</w:t>
      </w:r>
      <w:proofErr w:type="spellEnd"/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tujuannya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Peraturan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Menteri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Kebudayaan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Republik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Indonesia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Nomor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66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Tahun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2013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tentang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Standar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menyebutkan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bahwa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hasil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dilaporkan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deskripsi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pencapaian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orang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pemerintah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Standar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pun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menyebutkan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bahwa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laporan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hasil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berbentuk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2B6F09" w:rsidRDefault="002B6F09" w:rsidP="002B6F09">
      <w:p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2B6F09" w:rsidRDefault="002B6F09" w:rsidP="002B6F09">
      <w:p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setiap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mata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meliputi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menggunakan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skala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1–4 (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kelipatan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0.33),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dapat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dikonversi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Predikat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 - D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sedangkan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menggunakan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skala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Sangat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(SB),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(B),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Cukup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(C),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Kurang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(K),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mengisi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laporan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hasil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belajar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3 (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tiga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macam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yaitu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2B6F09" w:rsidRPr="002B6F09" w:rsidRDefault="002B6F09" w:rsidP="002B6F09">
      <w:p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1. 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:rsidR="002B6F09" w:rsidRPr="002B6F09" w:rsidRDefault="002B6F09" w:rsidP="002B6F09">
      <w:pPr>
        <w:numPr>
          <w:ilvl w:val="0"/>
          <w:numId w:val="2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 Mata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)</w:t>
      </w:r>
    </w:p>
    <w:p w:rsidR="002B6F09" w:rsidRPr="002B6F09" w:rsidRDefault="002B6F09" w:rsidP="002B6F09">
      <w:pPr>
        <w:numPr>
          <w:ilvl w:val="0"/>
          <w:numId w:val="2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atas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1)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Harian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(NH), 2)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Tengah Semester (UTS), 3)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Akhir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Semester (UAS)</w:t>
      </w:r>
    </w:p>
    <w:p w:rsidR="002B6F09" w:rsidRPr="002B6F09" w:rsidRDefault="002B6F09" w:rsidP="002B6F09">
      <w:pPr>
        <w:numPr>
          <w:ilvl w:val="0"/>
          <w:numId w:val="2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Harian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(NH)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hasil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harian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tulis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lisan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penugasan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dilaksanakan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setiap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akhir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Dasar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(KD).</w:t>
      </w:r>
    </w:p>
    <w:p w:rsidR="002B6F09" w:rsidRPr="002B6F09" w:rsidRDefault="002B6F09" w:rsidP="002B6F09">
      <w:pPr>
        <w:numPr>
          <w:ilvl w:val="0"/>
          <w:numId w:val="2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Tengah Semester (NUTS)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hasil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tulis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dilaksanakan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tengah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semester.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Materi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Tengah Semester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mencakup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seluruh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dibelajarkan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sampai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pelaksanaan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UTS.</w:t>
      </w:r>
    </w:p>
    <w:p w:rsidR="002B6F09" w:rsidRPr="002B6F09" w:rsidRDefault="002B6F09" w:rsidP="002B6F09">
      <w:pPr>
        <w:numPr>
          <w:ilvl w:val="0"/>
          <w:numId w:val="2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Akhir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Semester (NUAS)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hasil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tulis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dilaksanakan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akhir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semester.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Materi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UAS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mencakup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seluruh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semester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tersebut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numPr>
          <w:ilvl w:val="0"/>
          <w:numId w:val="2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Penghitungan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rata-rata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Proses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(NP),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Tengah Semester (UTS),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Akhir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Semester (UAS)/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Ulangan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Kenaikan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Kelas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(UKK)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bobotnya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ditentukan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Default="002B6F09" w:rsidP="002B6F09">
      <w:pPr>
        <w:numPr>
          <w:ilvl w:val="0"/>
          <w:numId w:val="2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dapat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menggunakan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rentang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seperti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tabel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bawah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ini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membantu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menentukan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tbl>
      <w:tblPr>
        <w:tblW w:w="8666" w:type="dxa"/>
        <w:tblInd w:w="720" w:type="dxa"/>
        <w:tblBorders>
          <w:top w:val="single" w:sz="6" w:space="0" w:color="041526"/>
          <w:left w:val="single" w:sz="6" w:space="0" w:color="041526"/>
          <w:bottom w:val="single" w:sz="6" w:space="0" w:color="041526"/>
          <w:right w:val="single" w:sz="6" w:space="0" w:color="041526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3"/>
        <w:gridCol w:w="6067"/>
        <w:gridCol w:w="2126"/>
      </w:tblGrid>
      <w:tr w:rsidR="002B6F09" w:rsidRPr="002B6F09" w:rsidTr="000528FC">
        <w:trPr>
          <w:trHeight w:val="3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</w:rPr>
              <w:lastRenderedPageBreak/>
              <w:t>No.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</w:rPr>
              <w:t>Nilai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8"/>
              </w:rPr>
              <w:t>Predikat</w:t>
            </w:r>
            <w:proofErr w:type="spellEnd"/>
          </w:p>
        </w:tc>
      </w:tr>
      <w:tr w:rsidR="002B6F09" w:rsidRPr="002B6F09" w:rsidTr="000528FC">
        <w:trPr>
          <w:trHeight w:val="3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0,00   ˂    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1,00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</w:t>
            </w:r>
          </w:p>
        </w:tc>
      </w:tr>
      <w:tr w:rsidR="002B6F09" w:rsidRPr="002B6F09" w:rsidTr="000528FC">
        <w:trPr>
          <w:trHeight w:val="3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1,00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1,33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D+</w:t>
            </w:r>
          </w:p>
        </w:tc>
      </w:tr>
      <w:tr w:rsidR="002B6F09" w:rsidRPr="002B6F09" w:rsidTr="000528FC">
        <w:trPr>
          <w:trHeight w:val="3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3.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1,33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1,66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C-</w:t>
            </w:r>
          </w:p>
        </w:tc>
      </w:tr>
      <w:tr w:rsidR="002B6F09" w:rsidRPr="002B6F09" w:rsidTr="000528FC">
        <w:trPr>
          <w:trHeight w:val="3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4.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1,66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2,00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</w:t>
            </w:r>
          </w:p>
        </w:tc>
      </w:tr>
      <w:tr w:rsidR="002B6F09" w:rsidRPr="002B6F09" w:rsidTr="000528FC">
        <w:trPr>
          <w:trHeight w:val="3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5.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2,00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2,33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C+</w:t>
            </w:r>
          </w:p>
        </w:tc>
      </w:tr>
      <w:tr w:rsidR="002B6F09" w:rsidRPr="002B6F09" w:rsidTr="000528FC">
        <w:trPr>
          <w:trHeight w:val="3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6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2,33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2,66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B-</w:t>
            </w:r>
          </w:p>
        </w:tc>
      </w:tr>
      <w:tr w:rsidR="002B6F09" w:rsidRPr="002B6F09" w:rsidTr="000528FC">
        <w:trPr>
          <w:trHeight w:val="3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7.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2,66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3,00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</w:t>
            </w:r>
          </w:p>
        </w:tc>
      </w:tr>
      <w:tr w:rsidR="002B6F09" w:rsidRPr="002B6F09" w:rsidTr="000528FC">
        <w:trPr>
          <w:trHeight w:val="3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8.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3,00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3,33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B+</w:t>
            </w:r>
          </w:p>
        </w:tc>
      </w:tr>
      <w:tr w:rsidR="002B6F09" w:rsidRPr="002B6F09" w:rsidTr="000528FC">
        <w:trPr>
          <w:trHeight w:val="3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9.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3,33    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3,66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A-</w:t>
            </w:r>
          </w:p>
        </w:tc>
      </w:tr>
      <w:tr w:rsidR="002B6F09" w:rsidRPr="002B6F09" w:rsidTr="000528FC">
        <w:trPr>
          <w:trHeight w:val="3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10.</w:t>
            </w:r>
          </w:p>
        </w:tc>
        <w:tc>
          <w:tcPr>
            <w:tcW w:w="60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3,66    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    ≤     4,00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A</w:t>
            </w:r>
          </w:p>
        </w:tc>
      </w:tr>
    </w:tbl>
    <w:p w:rsidR="000528FC" w:rsidRDefault="000528FC" w:rsidP="002B6F0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Penghitungan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adalah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cara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: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:rsidR="002B6F09" w:rsidRPr="002B6F09" w:rsidRDefault="002B6F09" w:rsidP="002B6F09">
      <w:pPr>
        <w:numPr>
          <w:ilvl w:val="0"/>
          <w:numId w:val="3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Menggunakan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skala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0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sd</w:t>
      </w:r>
      <w:proofErr w:type="spellEnd"/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100.</w:t>
      </w:r>
    </w:p>
    <w:p w:rsidR="002B6F09" w:rsidRPr="002B6F09" w:rsidRDefault="002B6F09" w:rsidP="002B6F09">
      <w:pPr>
        <w:numPr>
          <w:ilvl w:val="0"/>
          <w:numId w:val="3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Menetapkan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rumus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numPr>
          <w:ilvl w:val="0"/>
          <w:numId w:val="3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Penetapan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bobot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ditetapkan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mempertimbangkan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karakteristik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sekolah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numPr>
          <w:ilvl w:val="0"/>
          <w:numId w:val="3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harian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disarankan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diberi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bobot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besar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UTS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UAS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karena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mencerminkan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perkembangan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pencapaian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numPr>
          <w:ilvl w:val="0"/>
          <w:numId w:val="3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Rumus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Contoh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2 : 1 : 1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NH : NUTS : NUAS (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jumlah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perbandingan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= 4</w:t>
      </w:r>
    </w:p>
    <w:p w:rsidR="002B6F09" w:rsidRDefault="002B6F09" w:rsidP="002B6F09">
      <w:pPr>
        <w:numPr>
          <w:ilvl w:val="0"/>
          <w:numId w:val="3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Siswa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Mata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Agama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Budi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pekerti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sebagai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berikut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0528FC" w:rsidRPr="002B6F09" w:rsidRDefault="000528FC" w:rsidP="000528FC">
      <w:p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NH = 74</w:t>
      </w:r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NUTS = 70,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NUAS = 80</w:t>
      </w:r>
    </w:p>
    <w:tbl>
      <w:tblPr>
        <w:tblW w:w="0" w:type="auto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09"/>
        <w:gridCol w:w="2885"/>
        <w:gridCol w:w="218"/>
        <w:gridCol w:w="1543"/>
        <w:gridCol w:w="218"/>
        <w:gridCol w:w="480"/>
        <w:gridCol w:w="778"/>
      </w:tblGrid>
      <w:tr w:rsidR="002B6F09" w:rsidRPr="002B6F09" w:rsidTr="002B6F09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rapor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{(2x74)+(1x70)+(1x80)}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(148+70+80)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298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= 74,5</w:t>
            </w:r>
          </w:p>
        </w:tc>
      </w:tr>
      <w:tr w:rsidR="002B6F09" w:rsidRPr="002B6F09" w:rsidTr="002B6F0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</w:tbl>
    <w:p w:rsidR="000528FC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Konversi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(74</w:t>
      </w:r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,5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:100) x 4 = 2,98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Deskripsi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sudah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menguasai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seluruh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namun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masih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perlu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peningkatan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.... </w:t>
      </w:r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(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dilihat</w:t>
      </w:r>
      <w:proofErr w:type="spellEnd"/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Harian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kurang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atau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pengamatan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proses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).</w:t>
      </w:r>
    </w:p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 xml:space="preserve">2. 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:rsidR="002B6F09" w:rsidRPr="002B6F09" w:rsidRDefault="002B6F09" w:rsidP="002B6F09">
      <w:pPr>
        <w:numPr>
          <w:ilvl w:val="0"/>
          <w:numId w:val="4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 Mata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).</w:t>
      </w:r>
    </w:p>
    <w:p w:rsidR="002B6F09" w:rsidRPr="002B6F09" w:rsidRDefault="002B6F09" w:rsidP="002B6F09">
      <w:pPr>
        <w:numPr>
          <w:ilvl w:val="0"/>
          <w:numId w:val="4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melalui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kinerja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atas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1)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Praktik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2)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Portofolio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3)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Proyek</w:t>
      </w:r>
      <w:proofErr w:type="spellEnd"/>
    </w:p>
    <w:p w:rsidR="002B6F09" w:rsidRPr="002B6F09" w:rsidRDefault="002B6F09" w:rsidP="002B6F09">
      <w:pPr>
        <w:numPr>
          <w:ilvl w:val="0"/>
          <w:numId w:val="4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setiap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akhir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menyelesaikan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KD.</w:t>
      </w:r>
    </w:p>
    <w:p w:rsidR="002B6F09" w:rsidRDefault="002B6F09" w:rsidP="002B6F09">
      <w:pPr>
        <w:numPr>
          <w:ilvl w:val="0"/>
          <w:numId w:val="4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Penentuan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menggunakan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rentang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seperti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tabel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atas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 </w:t>
      </w:r>
    </w:p>
    <w:p w:rsidR="000528FC" w:rsidRPr="002B6F09" w:rsidRDefault="000528FC" w:rsidP="000528FC">
      <w:p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Penghitungan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adalah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cara</w:t>
      </w:r>
      <w:proofErr w:type="spellEnd"/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:rsidR="002B6F09" w:rsidRPr="002B6F09" w:rsidRDefault="002B6F09" w:rsidP="002B6F09">
      <w:pPr>
        <w:numPr>
          <w:ilvl w:val="0"/>
          <w:numId w:val="5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Menetapkan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rumus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penghitungan</w:t>
      </w:r>
      <w:proofErr w:type="spellEnd"/>
    </w:p>
    <w:p w:rsidR="002B6F09" w:rsidRPr="002B6F09" w:rsidRDefault="002B6F09" w:rsidP="002B6F09">
      <w:pPr>
        <w:numPr>
          <w:ilvl w:val="0"/>
          <w:numId w:val="5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Menggunakan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skala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0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sd</w:t>
      </w:r>
      <w:proofErr w:type="spellEnd"/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100.</w:t>
      </w:r>
    </w:p>
    <w:p w:rsidR="002B6F09" w:rsidRPr="002B6F09" w:rsidRDefault="002B6F09" w:rsidP="002B6F09">
      <w:pPr>
        <w:numPr>
          <w:ilvl w:val="0"/>
          <w:numId w:val="5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ditetapkan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mempertimbangkan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karakteristik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sekolah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numPr>
          <w:ilvl w:val="0"/>
          <w:numId w:val="5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Praktik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disarankan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diberi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bobot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besar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Portofolio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Proyek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karena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mencerminkan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proses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perkembangan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pencapaian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52"/>
        <w:gridCol w:w="5131"/>
      </w:tblGrid>
      <w:tr w:rsidR="002B6F09" w:rsidRPr="002B6F09" w:rsidTr="002B6F09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Rumus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Jumlah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Praktik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Portofolio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Projek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) x 4</w:t>
            </w:r>
          </w:p>
        </w:tc>
      </w:tr>
      <w:tr w:rsidR="002B6F09" w:rsidRPr="002B6F09" w:rsidTr="002B6F0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Jumlah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maksimal</w:t>
            </w:r>
            <w:proofErr w:type="spellEnd"/>
          </w:p>
        </w:tc>
      </w:tr>
    </w:tbl>
    <w:p w:rsidR="000528FC" w:rsidRDefault="000528FC" w:rsidP="002B6F0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Contoh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Penghitungan</w:t>
      </w:r>
      <w:proofErr w:type="spellEnd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</w:t>
      </w:r>
      <w:proofErr w:type="gramEnd"/>
    </w:p>
    <w:p w:rsidR="002B6F09" w:rsidRPr="002B6F09" w:rsidRDefault="002B6F09" w:rsidP="002B6F09">
      <w:pPr>
        <w:numPr>
          <w:ilvl w:val="0"/>
          <w:numId w:val="6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 2 : 1 : 1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Praktik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Portofolio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Proyek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jumlah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perbandingan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= 4</w:t>
      </w:r>
    </w:p>
    <w:p w:rsidR="002B6F09" w:rsidRDefault="002B6F09" w:rsidP="002B6F09">
      <w:pPr>
        <w:numPr>
          <w:ilvl w:val="0"/>
          <w:numId w:val="6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Siswa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Mata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Agama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Budi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pekerti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sebagai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berikut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</w:t>
      </w:r>
    </w:p>
    <w:p w:rsidR="000528FC" w:rsidRPr="002B6F09" w:rsidRDefault="000528FC" w:rsidP="000528FC">
      <w:p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Praktik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80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Portofolio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75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Proyek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80</w:t>
      </w:r>
    </w:p>
    <w:p w:rsidR="000528FC" w:rsidRPr="002B6F09" w:rsidRDefault="000528FC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79"/>
        <w:gridCol w:w="4731"/>
      </w:tblGrid>
      <w:tr w:rsidR="002B6F09" w:rsidRPr="002B6F09" w:rsidTr="002B6F09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rapor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Jumlah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((2x80)+(1x75)+(1x80)) x 4</w:t>
            </w:r>
          </w:p>
        </w:tc>
      </w:tr>
      <w:tr w:rsidR="002B6F09" w:rsidRPr="002B6F09" w:rsidTr="002B6F0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400</w:t>
            </w:r>
          </w:p>
        </w:tc>
      </w:tr>
    </w:tbl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09"/>
        <w:gridCol w:w="3471"/>
      </w:tblGrid>
      <w:tr w:rsidR="002B6F09" w:rsidRPr="002B6F09" w:rsidTr="002B6F09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rapor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Jumlah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(160+75+80) x 4</w:t>
            </w:r>
          </w:p>
        </w:tc>
      </w:tr>
      <w:tr w:rsidR="002B6F09" w:rsidRPr="002B6F09" w:rsidTr="002B6F0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400</w:t>
            </w:r>
          </w:p>
        </w:tc>
      </w:tr>
    </w:tbl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Rapor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      = (315:400) x 4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Konversi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3</w:t>
      </w:r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,15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B+</w:t>
      </w:r>
    </w:p>
    <w:p w:rsidR="000528FC" w:rsidRDefault="002B6F09" w:rsidP="002B6F09">
      <w:p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Deskripsi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sudah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mengerjakan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praktik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proyek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namun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masih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perlu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ditingkatkan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kedisiplinan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merapikan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tugas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portofolio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:rsidR="002B6F09" w:rsidRPr="002B6F09" w:rsidRDefault="002B6F09" w:rsidP="002B6F09">
      <w:p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3. 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Sikap</w:t>
      </w:r>
      <w:proofErr w:type="spellEnd"/>
    </w:p>
    <w:p w:rsidR="002B6F09" w:rsidRPr="002B6F09" w:rsidRDefault="002B6F09" w:rsidP="002B6F09">
      <w:pPr>
        <w:numPr>
          <w:ilvl w:val="0"/>
          <w:numId w:val="7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(spiritual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sosial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 Mata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)</w:t>
      </w:r>
    </w:p>
    <w:p w:rsidR="002B6F09" w:rsidRPr="002B6F09" w:rsidRDefault="002B6F09" w:rsidP="002B6F09">
      <w:pPr>
        <w:numPr>
          <w:ilvl w:val="0"/>
          <w:numId w:val="7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menggunakan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instrumen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1)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observasi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2)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sendiri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3)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antar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4)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Jurnal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catatan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</w:t>
      </w:r>
    </w:p>
    <w:p w:rsidR="002B6F09" w:rsidRPr="002B6F09" w:rsidRDefault="002B6F09" w:rsidP="002B6F09">
      <w:pPr>
        <w:numPr>
          <w:ilvl w:val="0"/>
          <w:numId w:val="7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Observasi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hasil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Pengamatan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terhadap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Proses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tertentu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sepanjang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proses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 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Dasar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(KD)</w:t>
      </w:r>
    </w:p>
    <w:p w:rsidR="002B6F09" w:rsidRDefault="002B6F09" w:rsidP="002B6F09">
      <w:pPr>
        <w:numPr>
          <w:ilvl w:val="0"/>
          <w:numId w:val="7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Spiritual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Sosial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(KI-1danKI-2)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menggunakan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Kualitatif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seperti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tabel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3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sebagai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berikut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0528FC" w:rsidRPr="002B6F09" w:rsidRDefault="000528FC" w:rsidP="000528FC">
      <w:p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tbl>
      <w:tblPr>
        <w:tblW w:w="0" w:type="auto"/>
        <w:tblInd w:w="720" w:type="dxa"/>
        <w:tblBorders>
          <w:top w:val="single" w:sz="6" w:space="0" w:color="041526"/>
          <w:left w:val="single" w:sz="6" w:space="0" w:color="041526"/>
          <w:bottom w:val="single" w:sz="6" w:space="0" w:color="041526"/>
          <w:right w:val="single" w:sz="6" w:space="0" w:color="041526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3"/>
        <w:gridCol w:w="4507"/>
        <w:gridCol w:w="1701"/>
        <w:gridCol w:w="1985"/>
      </w:tblGrid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Predikat</w:t>
            </w:r>
            <w:proofErr w:type="spellEnd"/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Sikap</w:t>
            </w:r>
            <w:proofErr w:type="spellEnd"/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0,00   ˂    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1,00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9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Kurang</w:t>
            </w:r>
            <w:proofErr w:type="spellEnd"/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1,00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1,33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D+</w:t>
            </w:r>
          </w:p>
        </w:tc>
        <w:tc>
          <w:tcPr>
            <w:tcW w:w="198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1,33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1,66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C-</w:t>
            </w:r>
          </w:p>
        </w:tc>
        <w:tc>
          <w:tcPr>
            <w:tcW w:w="19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Cukup</w:t>
            </w:r>
            <w:proofErr w:type="spellEnd"/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1,66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2,00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2,00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2,33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C+</w:t>
            </w:r>
          </w:p>
        </w:tc>
        <w:tc>
          <w:tcPr>
            <w:tcW w:w="198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2,33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2,66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B-</w:t>
            </w:r>
          </w:p>
        </w:tc>
        <w:tc>
          <w:tcPr>
            <w:tcW w:w="19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Baik</w:t>
            </w:r>
            <w:proofErr w:type="spellEnd"/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2,66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3,00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98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3,00   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3,33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B+</w:t>
            </w:r>
          </w:p>
        </w:tc>
        <w:tc>
          <w:tcPr>
            <w:tcW w:w="198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3,33    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3,66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A-</w:t>
            </w:r>
          </w:p>
        </w:tc>
        <w:tc>
          <w:tcPr>
            <w:tcW w:w="19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Sangat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Baik</w:t>
            </w:r>
            <w:proofErr w:type="spellEnd"/>
          </w:p>
        </w:tc>
      </w:tr>
      <w:tr w:rsidR="002B6F09" w:rsidRPr="002B6F09" w:rsidTr="000528F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3,66    ˂      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  ≤     4,00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6F09" w:rsidRPr="002B6F09" w:rsidRDefault="002B6F09" w:rsidP="002B6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98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528FC" w:rsidRDefault="000528FC" w:rsidP="002B6F0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Penghitungan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adalah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cara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:</w:t>
      </w:r>
      <w:proofErr w:type="gramEnd"/>
    </w:p>
    <w:p w:rsidR="002B6F09" w:rsidRPr="002B6F09" w:rsidRDefault="002B6F09" w:rsidP="002B6F09">
      <w:pPr>
        <w:numPr>
          <w:ilvl w:val="0"/>
          <w:numId w:val="8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Menentukan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Skala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dibuat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rentang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antara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1 - 4,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contoh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:1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sangat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kurang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2.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kurang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konsisten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3.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mulai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konsisten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4.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konsisten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;</w:t>
      </w:r>
    </w:p>
    <w:p w:rsidR="002B6F09" w:rsidRPr="002B6F09" w:rsidRDefault="002B6F09" w:rsidP="002B6F09">
      <w:pPr>
        <w:numPr>
          <w:ilvl w:val="0"/>
          <w:numId w:val="8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Menetapkan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rumus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penghitungan</w:t>
      </w:r>
      <w:proofErr w:type="spellEnd"/>
    </w:p>
    <w:p w:rsidR="002B6F09" w:rsidRPr="002B6F09" w:rsidRDefault="002B6F09" w:rsidP="002B6F09">
      <w:pPr>
        <w:numPr>
          <w:ilvl w:val="0"/>
          <w:numId w:val="8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ditetapkan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mempertimbangkan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karakteristik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sekolah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</w:p>
    <w:p w:rsidR="002B6F09" w:rsidRPr="002B6F09" w:rsidRDefault="002B6F09" w:rsidP="002B6F09">
      <w:pPr>
        <w:numPr>
          <w:ilvl w:val="0"/>
          <w:numId w:val="8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Proses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atau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Observasi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disarankan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diberi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bobot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besar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Sendiri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Antarteman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Jurnal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karena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mencerminkan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proses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perkembangan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perilaku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otentik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numPr>
          <w:ilvl w:val="0"/>
          <w:numId w:val="8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Contoh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2 : 1 : 1 : 1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Observasi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Sendiri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Antart</w:t>
      </w:r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>eman</w:t>
      </w:r>
      <w:proofErr w:type="spellEnd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 </w:t>
      </w:r>
      <w:proofErr w:type="spellStart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>Jurnal</w:t>
      </w:r>
      <w:proofErr w:type="spellEnd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 (</w:t>
      </w:r>
      <w:proofErr w:type="spellStart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>jml</w:t>
      </w:r>
      <w:proofErr w:type="spellEnd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>perbandingan</w:t>
      </w:r>
      <w:proofErr w:type="spellEnd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="000528FC">
        <w:rPr>
          <w:rFonts w:ascii="Times New Roman" w:eastAsia="Times New Roman" w:hAnsi="Times New Roman" w:cs="Times New Roman"/>
          <w:color w:val="111111"/>
          <w:sz w:val="28"/>
          <w:szCs w:val="28"/>
        </w:rPr>
        <w:t>p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mbobotan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= 5.</w:t>
      </w:r>
    </w:p>
    <w:tbl>
      <w:tblPr>
        <w:tblW w:w="0" w:type="auto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52"/>
        <w:gridCol w:w="6281"/>
        <w:gridCol w:w="410"/>
      </w:tblGrid>
      <w:tr w:rsidR="002B6F09" w:rsidRPr="002B6F09" w:rsidTr="002B6F09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lastRenderedPageBreak/>
              <w:t>Rumus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Jumlah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Observasi,diri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sendiri,antar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teman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,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jurnal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 4</w:t>
            </w:r>
          </w:p>
        </w:tc>
      </w:tr>
      <w:tr w:rsidR="002B6F09" w:rsidRPr="002B6F09" w:rsidTr="002B6F0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Jumlah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Nilai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maksimal</w:t>
            </w:r>
            <w:proofErr w:type="spellEnd"/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</w:tbl>
    <w:p w:rsidR="000528FC" w:rsidRDefault="000528FC" w:rsidP="002B6F0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B6F09" w:rsidRPr="002B6F09" w:rsidRDefault="002B6F09" w:rsidP="002B6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Siswa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mata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Agama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Budi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Pekerti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memperoleh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: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Observasi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4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sendiri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3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antarpeserta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3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Jurnal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4</w:t>
      </w:r>
    </w:p>
    <w:tbl>
      <w:tblPr>
        <w:tblW w:w="0" w:type="auto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82"/>
        <w:gridCol w:w="3229"/>
        <w:gridCol w:w="410"/>
        <w:gridCol w:w="218"/>
        <w:gridCol w:w="340"/>
        <w:gridCol w:w="1058"/>
      </w:tblGrid>
      <w:tr w:rsidR="002B6F09" w:rsidRPr="002B6F09" w:rsidTr="002B6F09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Rumus</w:t>
            </w:r>
            <w:proofErr w:type="spellEnd"/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{(2x4)+(1x3)+(1x3)+(1x4)}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 4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both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x 4 = 3,6</w:t>
            </w:r>
          </w:p>
        </w:tc>
      </w:tr>
      <w:tr w:rsidR="002B6F09" w:rsidRPr="002B6F09" w:rsidTr="002B6F0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20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B6F09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20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B6F09" w:rsidRPr="002B6F09" w:rsidRDefault="002B6F09" w:rsidP="002B6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</w:tbl>
    <w:p w:rsidR="002B6F09" w:rsidRPr="002B6F09" w:rsidRDefault="002B6F09" w:rsidP="000528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Konversi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3</w:t>
      </w:r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,6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Sangat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Deskripsi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=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Memiliki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Sangat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selama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proses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pembelajaran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</w:rPr>
        <w:t>,.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4. KKM (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Kriteria</w:t>
      </w:r>
      <w:proofErr w:type="spellEnd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Ketuntasan</w:t>
      </w:r>
      <w:proofErr w:type="spellEnd"/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Minimal)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br/>
      </w:r>
    </w:p>
    <w:p w:rsidR="002B6F09" w:rsidRPr="002B6F09" w:rsidRDefault="002B6F09" w:rsidP="002B6F09">
      <w:pPr>
        <w:numPr>
          <w:ilvl w:val="0"/>
          <w:numId w:val="9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KKM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ditentukan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Pendidikan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proofErr w:type="gram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mempertimbangkan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</w:t>
      </w:r>
      <w:proofErr w:type="gram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karakteristik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dasar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daya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dukung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karakteristik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numPr>
          <w:ilvl w:val="0"/>
          <w:numId w:val="9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KKM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tidak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dicantumkan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dalam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buku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hasil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belajar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melainkan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buku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penilaian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guru.</w:t>
      </w:r>
    </w:p>
    <w:p w:rsidR="002B6F09" w:rsidRPr="002B6F09" w:rsidRDefault="002B6F09" w:rsidP="002B6F09">
      <w:pPr>
        <w:numPr>
          <w:ilvl w:val="0"/>
          <w:numId w:val="9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sudah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mencapai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atau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melampaui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KKM,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diberi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program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Pengayaan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2B6F09" w:rsidRDefault="002B6F09" w:rsidP="002B6F09">
      <w:pPr>
        <w:numPr>
          <w:ilvl w:val="0"/>
          <w:numId w:val="9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Keterangan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ketuntasan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:1)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pengetahuan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keterampilan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dinyatakan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tuntas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apabila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mencapai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2.66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2)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spiritual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sosial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dinyatakan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tuntas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apabila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mencapai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Baik</w:t>
      </w:r>
      <w:proofErr w:type="spellEnd"/>
    </w:p>
    <w:p w:rsidR="002B6F09" w:rsidRPr="002B6F09" w:rsidRDefault="002B6F09" w:rsidP="002B6F09">
      <w:pPr>
        <w:numPr>
          <w:ilvl w:val="0"/>
          <w:numId w:val="9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Implikasi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ketuntasan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belajar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tersebut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adalah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sebagai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berikut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1)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KD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KI-3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KI-4: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diberikan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remedial individual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sesuai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kebutuhan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kurang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2.66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; 2)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KD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KI-3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KI-4: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diberikan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kesempatan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melanjutkan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pelajarannya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KD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berikutnya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2.66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atau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2.66;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3)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KD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KI-3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KI-4: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diadakan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remedial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klasikal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sesuai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dengan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kebutuhan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apabila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lebih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r w:rsidRPr="002B6F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75%</w:t>
      </w:r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memperoleh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nilai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kurang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2.66. 4)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Untuk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KD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pada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KI-1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KI-2,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pembinaan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terhadap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yang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secara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umum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profil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sikapnya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belum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berkategori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baik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dilakukan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secara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holistik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(paling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tidak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oleh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guru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matapelajaran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guru BK,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orang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).</w:t>
      </w:r>
    </w:p>
    <w:p w:rsidR="002B6F09" w:rsidRPr="002B6F09" w:rsidRDefault="002B6F09" w:rsidP="002B6F09">
      <w:pPr>
        <w:numPr>
          <w:ilvl w:val="0"/>
          <w:numId w:val="9"/>
        </w:numPr>
        <w:shd w:val="clear" w:color="auto" w:fill="FFFFFF"/>
        <w:spacing w:after="0" w:line="273" w:lineRule="atLeast"/>
        <w:ind w:left="15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Peserta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didik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dinyatakan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tidak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naik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kelas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apabila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terdapat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minimal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salah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satu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kompetensi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dari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tiga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mata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pelajaran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tidak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tuntas</w:t>
      </w:r>
      <w:proofErr w:type="spellEnd"/>
      <w:r w:rsidRPr="002B6F09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2B6F09" w:rsidRPr="00817B24" w:rsidRDefault="002B6F09" w:rsidP="00817B24">
      <w:pPr>
        <w:rPr>
          <w:rFonts w:ascii="Times New Roman" w:hAnsi="Times New Roman" w:cs="Times New Roman"/>
          <w:sz w:val="28"/>
          <w:szCs w:val="28"/>
        </w:rPr>
      </w:pPr>
    </w:p>
    <w:sectPr w:rsidR="002B6F09" w:rsidRPr="00817B24" w:rsidSect="005F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F4A"/>
    <w:multiLevelType w:val="multilevel"/>
    <w:tmpl w:val="99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936CA"/>
    <w:multiLevelType w:val="multilevel"/>
    <w:tmpl w:val="566A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D0ACD"/>
    <w:multiLevelType w:val="multilevel"/>
    <w:tmpl w:val="3BC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77514"/>
    <w:multiLevelType w:val="multilevel"/>
    <w:tmpl w:val="51EE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82228"/>
    <w:multiLevelType w:val="multilevel"/>
    <w:tmpl w:val="0AF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B42672"/>
    <w:multiLevelType w:val="multilevel"/>
    <w:tmpl w:val="542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D475F"/>
    <w:multiLevelType w:val="multilevel"/>
    <w:tmpl w:val="985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A47ED0"/>
    <w:multiLevelType w:val="multilevel"/>
    <w:tmpl w:val="A15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3872EE"/>
    <w:multiLevelType w:val="multilevel"/>
    <w:tmpl w:val="BD0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B24"/>
    <w:rsid w:val="000528FC"/>
    <w:rsid w:val="002B6F09"/>
    <w:rsid w:val="00493DC4"/>
    <w:rsid w:val="005F6088"/>
    <w:rsid w:val="00817B24"/>
    <w:rsid w:val="00F1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F09"/>
  </w:style>
  <w:style w:type="paragraph" w:styleId="BalloonText">
    <w:name w:val="Balloon Text"/>
    <w:basedOn w:val="Normal"/>
    <w:link w:val="BalloonTextChar"/>
    <w:uiPriority w:val="99"/>
    <w:semiHidden/>
    <w:unhideWhenUsed/>
    <w:rsid w:val="002B6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1</cp:revision>
  <dcterms:created xsi:type="dcterms:W3CDTF">2016-03-10T02:26:00Z</dcterms:created>
  <dcterms:modified xsi:type="dcterms:W3CDTF">2016-03-10T02:49:00Z</dcterms:modified>
</cp:coreProperties>
</file>