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600" w:after="0"/>
        <w:jc w:val="center"/>
      </w:pPr>
      <w:r>
        <w:rPr>
          <w:sz w:val="40"/>
          <w:szCs w:val="40"/>
        </w:rPr>
        <w:t xml:space="preserve">UNIVERSITÀ DI PISA</w:t>
      </w:r>
    </w:p>
    <w:p>
      <w:pPr>
        <w:spacing w:before="200" w:after="0"/>
        <w:jc w:val="center"/>
      </w:pPr>
      <w:r>
        <w:rPr>
          <w:sz w:val="28"/>
          <w:szCs w:val="28"/>
        </w:rPr>
        <w:t xml:space="preserve">DIPARTIMENTO DI INFORMATICA</w:t>
      </w:r>
    </w:p>
    <w:p>
      <w:pPr>
        <w:spacing w:before="120" w:after="0"/>
        <w:jc w:val="center"/>
      </w:pPr>
      <w:r>
        <w:rPr>
          <w:sz w:val="28"/>
          <w:szCs w:val="28"/>
        </w:rPr>
        <w:t xml:space="preserve">Data Science and Business Informatics</w:t>
      </w:r>
    </w:p>
    <w:p>
      <w:pPr>
        <w:spacing w:before="2600" w:after="0"/>
        <w:jc w:val="center"/>
      </w:pPr>
      <w:r>
        <w:rPr>
          <w:b/>
          <w:bCs/>
          <w:sz w:val="72"/>
          <w:szCs w:val="72"/>
        </w:rPr>
        <w:t xml:space="preserve">Project 29</w:t>
      </w:r>
    </w:p>
    <w:p>
      <w:pPr>
        <w:spacing w:before="700" w:after="0"/>
        <w:jc w:val="center"/>
      </w:pPr>
      <w:r>
        <w:rPr>
          <w:sz w:val="40"/>
          <w:szCs w:val="40"/>
        </w:rPr>
        <w:t xml:space="preserve">Multi-class SVM with a Lagrangian</w:t>
      </w:r>
    </w:p>
    <w:p>
      <w:pPr>
        <w:spacing w:before="60" w:after="0"/>
        <w:jc w:val="center"/>
      </w:pPr>
      <w:r>
        <w:rPr>
          <w:sz w:val="40"/>
          <w:szCs w:val="40"/>
        </w:rPr>
        <w:t xml:space="preserve">Dual and Bundle Methods</w:t>
      </w:r>
    </w:p>
    <w:p>
      <w:pPr>
        <w:spacing w:before="2400" w:after="0"/>
        <w:jc w:val="center"/>
      </w:pPr>
      <w:r>
        <w:rPr>
          <w:sz w:val="24"/>
          <w:szCs w:val="24"/>
        </w:rPr>
        <w:t xml:space="preserve"/>
      </w:r>
    </w:p>
    <w:tbl>
      <w:tblPr>
        <w:tblStyle w:val="Table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c>
          <w:tcPr>
            <w:tcW w:w="4536" w:type="dxa"/>
          </w:tcPr>
          <w:p>
            <w:pPr>
              <w:spacing w:before="0" w:after="80"/>
              <w:jc w:val="left"/>
            </w:pPr>
            <w:r>
              <w:rPr>
                <w:sz w:val="26"/>
                <w:szCs w:val="26"/>
              </w:rPr>
              <w:t xml:space="preserve">Professor:</w:t>
            </w:r>
          </w:p>
          <w:p>
            <w:pPr>
              <w:spacing w:before="0" w:after="80"/>
              <w:jc w:val="left"/>
            </w:pPr>
            <w:r>
              <w:rPr>
                <w:sz w:val="26"/>
                <w:szCs w:val="26"/>
              </w:rPr>
              <w:t xml:space="preserve">Prof. Antonio Frangioni</w:t>
            </w:r>
          </w:p>
        </w:tc>
        <w:tc>
          <w:tcPr>
            <w:tcW w:w="4536" w:type="dxa"/>
          </w:tcPr>
          <w:p>
            <w:pPr>
              <w:spacing w:before="0" w:after="80"/>
              <w:jc w:val="right"/>
            </w:pPr>
            <w:r>
              <w:rPr>
                <w:sz w:val="26"/>
                <w:szCs w:val="26"/>
              </w:rPr>
              <w:t xml:space="preserve">Students:</w:t>
            </w:r>
          </w:p>
          <w:p>
            <w:pPr>
              <w:spacing w:before="0" w:after="80"/>
              <w:jc w:val="right"/>
            </w:pPr>
            <w:r>
              <w:rPr>
                <w:sz w:val="26"/>
                <w:szCs w:val="26"/>
              </w:rPr>
              <w:t xml:space="preserve">Tolgonai Nasipbek kyzy</w:t>
            </w:r>
          </w:p>
          <w:p>
            <w:pPr>
              <w:spacing w:before="0" w:after="80"/>
              <w:jc w:val="right"/>
            </w:pPr>
            <w:r>
              <w:rPr>
                <w:sz w:val="26"/>
                <w:szCs w:val="26"/>
              </w:rPr>
              <w:t xml:space="preserve">Hamse Hassan Adnan</w:t>
            </w:r>
          </w:p>
        </w:tc>
      </w:tr>
    </w:tbl>
    <w:p>
      <w:pPr>
        <w:spacing w:before="2000" w:after="0"/>
        <w:jc w:val="center"/>
      </w:pPr>
      <w:r>
        <w:rPr>
          <w:sz w:val="28"/>
          <w:szCs w:val="28"/>
        </w:rPr>
        <w:t xml:space="preserve">ANNO ACCADEMICO 2025/2026</w:t>
      </w:r>
    </w:p>
    <w:p>
      <w:pPr>
        <w:pStyle w:val="TOCHeading"/>
      </w:pPr>
      <w:r>
        <w:t>Contents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00001" w:history="1">
        <w:r>
          <w:t xml:space="preserve">1</w:t>
        </w:r>
        <w:r>
          <w:tab/>
        </w:r>
        <w:r>
          <w:t xml:space="preserve">Introduction</w:t>
        </w:r>
        <w:r>
          <w:tab/>
        </w:r>
        <w:r>
          <w:fldChar w:fldCharType="begin"/>
        </w:r>
        <w:r>
          <w:instrText xml:space="preserve"> PAGEREF _Toc100001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</w:pPr>
      <w:hyperlink w:anchor="_Toc100002" w:history="1">
        <w:r>
          <w:t xml:space="preserve">1.1</w:t>
        </w:r>
        <w:r>
          <w:tab/>
        </w:r>
        <w:r>
          <w:t xml:space="preserve">Description of the task</w:t>
        </w:r>
        <w:r>
          <w:tab/>
        </w:r>
        <w:r>
          <w:fldChar w:fldCharType="begin"/>
        </w:r>
        <w:r>
          <w:instrText xml:space="preserve"> PAGEREF _Toc100002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</w:pPr>
      <w:hyperlink w:anchor="_Toc100003" w:history="1">
        <w:r>
          <w:t xml:space="preserve">2</w:t>
        </w:r>
        <w:r>
          <w:tab/>
        </w:r>
        <w:r>
          <w:t xml:space="preserve">SVM Problem Formulation</w:t>
        </w:r>
        <w:r>
          <w:tab/>
        </w:r>
        <w:r>
          <w:fldChar w:fldCharType="begin"/>
        </w:r>
        <w:r>
          <w:instrText xml:space="preserve"> PAGEREF _Toc100003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</w:pPr>
      <w:hyperlink w:anchor="_Toc100004" w:history="1">
        <w:r>
          <w:t xml:space="preserve">2.1</w:t>
        </w:r>
        <w:r>
          <w:tab/>
        </w:r>
        <w:r>
          <w:t xml:space="preserve">Soft margin formulation</w:t>
        </w:r>
        <w:r>
          <w:tab/>
        </w:r>
        <w:r>
          <w:fldChar w:fldCharType="begin"/>
        </w:r>
        <w:r>
          <w:instrText xml:space="preserve"> PAGEREF _Toc100004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</w:pPr>
      <w:hyperlink w:anchor="_Toc100005" w:history="1">
        <w:r>
          <w:t xml:space="preserve">2.2</w:t>
        </w:r>
        <w:r>
          <w:tab/>
        </w:r>
        <w:r>
          <w:t xml:space="preserve">Dual formulation</w:t>
        </w:r>
        <w:r>
          <w:tab/>
        </w:r>
        <w:r>
          <w:fldChar w:fldCharType="begin"/>
        </w:r>
        <w:r>
          <w:instrText xml:space="preserve"> PAGEREF _Toc100005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</w:pPr>
      <w:hyperlink w:anchor="_Toc100006" w:history="1">
        <w:r>
          <w:t xml:space="preserve">2.3</w:t>
        </w:r>
        <w:r>
          <w:tab/>
        </w:r>
        <w:r>
          <w:t xml:space="preserve">Primal and dual variables</w:t>
        </w:r>
        <w:r>
          <w:tab/>
        </w:r>
        <w:r>
          <w:fldChar w:fldCharType="begin"/>
        </w:r>
        <w:r>
          <w:instrText xml:space="preserve"> PAGEREF _Toc100006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</w:pPr>
      <w:hyperlink w:anchor="_Toc100007" w:history="1">
        <w:r>
          <w:t xml:space="preserve">2.4</w:t>
        </w:r>
        <w:r>
          <w:tab/>
        </w:r>
        <w:r>
          <w:t xml:space="preserve">Kernel trick</w:t>
        </w:r>
        <w:r>
          <w:tab/>
        </w:r>
        <w:r>
          <w:fldChar w:fldCharType="begin"/>
        </w:r>
        <w:r>
          <w:instrText xml:space="preserve"> PAGEREF _Toc100007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</w:pPr>
      <w:hyperlink w:anchor="_Toc100008" w:history="1">
        <w:r>
          <w:t xml:space="preserve">3</w:t>
        </w:r>
        <w:r>
          <w:tab/>
        </w:r>
        <w:r>
          <w:t xml:space="preserve">The Lagrangian Dual</w:t>
        </w:r>
        <w:r>
          <w:tab/>
        </w:r>
        <w:r>
          <w:fldChar w:fldCharType="begin"/>
        </w:r>
        <w:r>
          <w:instrText xml:space="preserve"> PAGEREF _Toc100008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</w:pPr>
      <w:hyperlink w:anchor="_Toc100009" w:history="1">
        <w:r>
          <w:t xml:space="preserve">3.1</w:t>
        </w:r>
        <w:r>
          <w:tab/>
        </w:r>
        <w:r>
          <w:t xml:space="preserve">Which constraints to dualise</w:t>
        </w:r>
        <w:r>
          <w:tab/>
        </w:r>
        <w:r>
          <w:fldChar w:fldCharType="begin"/>
        </w:r>
        <w:r>
          <w:instrText xml:space="preserve"> PAGEREF _Toc100009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</w:pPr>
      <w:hyperlink w:anchor="_Toc100010" w:history="1">
        <w:r>
          <w:t xml:space="preserve">3.2</w:t>
        </w:r>
        <w:r>
          <w:tab/>
        </w:r>
        <w:r>
          <w:t xml:space="preserve">Dualising the representer identity</w:t>
        </w:r>
        <w:r>
          <w:tab/>
        </w:r>
        <w:r>
          <w:fldChar w:fldCharType="begin"/>
        </w:r>
        <w:r>
          <w:instrText xml:space="preserve"> PAGEREF _Toc100010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</w:pPr>
      <w:hyperlink w:anchor="_Toc100011" w:history="1">
        <w:r>
          <w:t xml:space="preserve">3.3</w:t>
        </w:r>
        <w:r>
          <w:tab/>
        </w:r>
        <w:r>
          <w:t xml:space="preserve">The relaxed problem is a continuous knapsack</w:t>
        </w:r>
        <w:r>
          <w:tab/>
        </w:r>
        <w:r>
          <w:fldChar w:fldCharType="begin"/>
        </w:r>
        <w:r>
          <w:instrText xml:space="preserve"> PAGEREF _Toc100011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</w:pPr>
      <w:hyperlink w:anchor="_Toc100012" w:history="1">
        <w:r>
          <w:t xml:space="preserve">3.4</w:t>
        </w:r>
        <w:r>
          <w:tab/>
        </w:r>
        <w:r>
          <w:t xml:space="preserve">Properties of the dual function</w:t>
        </w:r>
        <w:r>
          <w:tab/>
        </w:r>
        <w:r>
          <w:fldChar w:fldCharType="begin"/>
        </w:r>
        <w:r>
          <w:instrText xml:space="preserve"> PAGEREF _Toc100012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</w:pPr>
      <w:hyperlink w:anchor="_Toc100013" w:history="1">
        <w:r>
          <w:t xml:space="preserve">3.5</w:t>
        </w:r>
        <w:r>
          <w:tab/>
        </w:r>
        <w:r>
          <w:t xml:space="preserve">What this dual actually is</w:t>
        </w:r>
        <w:r>
          <w:tab/>
        </w:r>
        <w:r>
          <w:fldChar w:fldCharType="begin"/>
        </w:r>
        <w:r>
          <w:instrText xml:space="preserve"> PAGEREF _Toc100013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</w:pPr>
      <w:hyperlink w:anchor="_Toc100014" w:history="1">
        <w:r>
          <w:t xml:space="preserve">3.6</w:t>
        </w:r>
        <w:r>
          <w:tab/>
        </w:r>
        <w:r>
          <w:t xml:space="preserve">Relation to the direct nonsmooth formulation</w:t>
        </w:r>
        <w:r>
          <w:tab/>
        </w:r>
        <w:r>
          <w:fldChar w:fldCharType="begin"/>
        </w:r>
        <w:r>
          <w:instrText xml:space="preserve"> PAGEREF _Toc100014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1"/>
      </w:pPr>
      <w:hyperlink w:anchor="_Toc100015" w:history="1">
        <w:r>
          <w:t xml:space="preserve">4</w:t>
        </w:r>
        <w:r>
          <w:tab/>
        </w:r>
        <w:r>
          <w:t xml:space="preserve">The Bundle Method</w:t>
        </w:r>
        <w:r>
          <w:tab/>
        </w:r>
        <w:r>
          <w:fldChar w:fldCharType="begin"/>
        </w:r>
        <w:r>
          <w:instrText xml:space="preserve"> PAGEREF _Toc100015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</w:pPr>
      <w:hyperlink w:anchor="_Toc100016" w:history="1">
        <w:r>
          <w:t xml:space="preserve">4.1</w:t>
        </w:r>
        <w:r>
          <w:tab/>
        </w:r>
        <w:r>
          <w:t xml:space="preserve">Model and master problem</w:t>
        </w:r>
        <w:r>
          <w:tab/>
        </w:r>
        <w:r>
          <w:fldChar w:fldCharType="begin"/>
        </w:r>
        <w:r>
          <w:instrText xml:space="preserve"> PAGEREF _Toc100016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</w:pPr>
      <w:hyperlink w:anchor="_Toc100017" w:history="1">
        <w:r>
          <w:t xml:space="preserve">4.2</w:t>
        </w:r>
        <w:r>
          <w:tab/>
        </w:r>
        <w:r>
          <w:t xml:space="preserve">Primal recovery and Dantzig–Wolfe</w:t>
        </w:r>
        <w:r>
          <w:tab/>
        </w:r>
        <w:r>
          <w:fldChar w:fldCharType="begin"/>
        </w:r>
        <w:r>
          <w:instrText xml:space="preserve"> PAGEREF _Toc100017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</w:pPr>
      <w:hyperlink w:anchor="_Toc100018" w:history="1">
        <w:r>
          <w:t xml:space="preserve">4.3</w:t>
        </w:r>
        <w:r>
          <w:tab/>
        </w:r>
        <w:r>
          <w:t xml:space="preserve">Kernelised form</w:t>
        </w:r>
        <w:r>
          <w:tab/>
        </w:r>
        <w:r>
          <w:fldChar w:fldCharType="begin"/>
        </w:r>
        <w:r>
          <w:instrText xml:space="preserve"> PAGEREF _Toc100018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</w:pPr>
      <w:hyperlink w:anchor="_Toc100019" w:history="1">
        <w:r>
          <w:t xml:space="preserve">4.4</w:t>
        </w:r>
        <w:r>
          <w:tab/>
        </w:r>
        <w:r>
          <w:t xml:space="preserve">Cost, and how many cuts are needed</w:t>
        </w:r>
        <w:r>
          <w:tab/>
        </w:r>
        <w:r>
          <w:fldChar w:fldCharType="begin"/>
        </w:r>
        <w:r>
          <w:instrText xml:space="preserve"> PAGEREF _Toc100019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1"/>
      </w:pPr>
      <w:hyperlink w:anchor="_Toc100020" w:history="1">
        <w:r>
          <w:t xml:space="preserve">5</w:t>
        </w:r>
        <w:r>
          <w:tab/>
        </w:r>
        <w:r>
          <w:t xml:space="preserve">The General-Purpose Solver</w:t>
        </w:r>
        <w:r>
          <w:tab/>
        </w:r>
        <w:r>
          <w:fldChar w:fldCharType="begin"/>
        </w:r>
        <w:r>
          <w:instrText xml:space="preserve"> PAGEREF _Toc100020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1"/>
      </w:pPr>
      <w:hyperlink w:anchor="_Toc100021" w:history="1">
        <w:r>
          <w:t xml:space="preserve">6</w:t>
        </w:r>
        <w:r>
          <w:tab/>
        </w:r>
        <w:r>
          <w:t xml:space="preserve">Multiclass SVM</w:t>
        </w:r>
        <w:r>
          <w:tab/>
        </w:r>
        <w:r>
          <w:fldChar w:fldCharType="begin"/>
        </w:r>
        <w:r>
          <w:instrText xml:space="preserve"> PAGEREF _Toc100021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</w:pPr>
      <w:hyperlink w:anchor="_Toc100022" w:history="1">
        <w:r>
          <w:t xml:space="preserve">6.1</w:t>
        </w:r>
        <w:r>
          <w:tab/>
        </w:r>
        <w:r>
          <w:t xml:space="preserve">One-vs-Rest approach</w:t>
        </w:r>
        <w:r>
          <w:tab/>
        </w:r>
        <w:r>
          <w:fldChar w:fldCharType="begin"/>
        </w:r>
        <w:r>
          <w:instrText xml:space="preserve"> PAGEREF _Toc100022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</w:pPr>
      <w:hyperlink w:anchor="_Toc100023" w:history="1">
        <w:r>
          <w:t xml:space="preserve">6.2</w:t>
        </w:r>
        <w:r>
          <w:tab/>
        </w:r>
        <w:r>
          <w:t xml:space="preserve">Does solving one problem help the others?</w:t>
        </w:r>
        <w:r>
          <w:tab/>
        </w:r>
        <w:r>
          <w:fldChar w:fldCharType="begin"/>
        </w:r>
        <w:r>
          <w:instrText xml:space="preserve"> PAGEREF _Toc100023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r>
        <w:fldChar w:fldCharType="end"/>
      </w:r>
    </w:p>
    <w:bookmarkStart w:id="21" w:name="_Toc100001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bookmarkStart w:id="20" w:name="_Toc100002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Description of the task</w:t>
      </w:r>
    </w:p>
    <w:p>
      <w:pPr>
        <w:pStyle w:val="FirstParagraph"/>
      </w:pPr>
      <w:r>
        <w:t xml:space="preserve">This report explores two different optimization algorithms applied to a machine</w:t>
      </w:r>
      <w:r>
        <w:t xml:space="preserve"> </w:t>
      </w:r>
      <w:r>
        <w:t xml:space="preserve">learning model.</w:t>
      </w:r>
    </w:p>
    <w:p>
      <w:pPr>
        <w:pStyle w:val="BodyText"/>
      </w:pPr>
      <w:r>
        <w:t xml:space="preserve">The ML model (M) is a Support Vector Machine-type approach for multi-class</w:t>
      </w:r>
      <w:r>
        <w:t xml:space="preserve"> </w:t>
      </w:r>
      <w:r>
        <w:t xml:space="preserve">classification, with a choice of kernels, using the standard One-vs-Rest approach.</w:t>
      </w:r>
    </w:p>
    <w:p>
      <w:pPr>
        <w:pStyle w:val="BodyText"/>
      </w:pPr>
      <w:r>
        <w:t xml:space="preserve">The first optimization algorithm (A1) is a dual approach applied to the dual</w:t>
      </w:r>
      <w:r>
        <w:t xml:space="preserve"> </w:t>
      </w:r>
      <w:r>
        <w:t xml:space="preserve">formulation of the SVM. We reintroduce the weight vector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as an explicit</w:t>
      </w:r>
      <w:r>
        <w:t xml:space="preserve"> </w:t>
      </w:r>
      <w:r>
        <w:t xml:space="preserve">variable, so that the representer identity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t>ϕ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becomes a</w:t>
      </w:r>
      <w:r>
        <w:t xml:space="preserve"> </w:t>
      </w:r>
      <w:r>
        <w:t xml:space="preserve">constraint of the problem, and we dualise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identity. The resulting</w:t>
      </w:r>
      <w:r>
        <w:t xml:space="preserve"> </w:t>
      </w:r>
      <w:r>
        <w:t xml:space="preserve">Lagrangian relaxation is a linear program over a box with a single equality</w:t>
      </w:r>
      <w:r>
        <w:t xml:space="preserve"> </w:t>
      </w:r>
      <w:r>
        <w:t xml:space="preserve">constraint — a continuous knapsack, solved exactly by sorting in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log</m:t>
            </m:r>
            <m:r>
              <m:t>m</m:t>
            </m:r>
          </m:e>
        </m:d>
      </m:oMath>
      <w:r>
        <w:t xml:space="preserve"> </w:t>
      </w:r>
      <w:r>
        <w:t xml:space="preserve">—</w:t>
      </w:r>
      <w:r>
        <w:t xml:space="preserve"> </w:t>
      </w:r>
      <w:r>
        <w:t xml:space="preserve">so the dual function is finite everywhere, genuinely non-differentiable, and defined</w:t>
      </w:r>
      <w:r>
        <w:t xml:space="preserve"> </w:t>
      </w:r>
      <w:r>
        <w:t xml:space="preserve">on a space of dimension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a linear kernel 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 general. It is maximised by</w:t>
      </w:r>
      <w:r>
        <w:t xml:space="preserve"> </w:t>
      </w:r>
      <w:r>
        <w:t xml:space="preserve">a proximal bundle method, whose master problem is solved by an off-the-shelf QP</w:t>
      </w:r>
      <w:r>
        <w:t xml:space="preserve"> </w:t>
      </w:r>
      <w:r>
        <w:t xml:space="preserve">solver, as the project statement allows.</w:t>
      </w:r>
    </w:p>
    <w:p>
      <w:pPr>
        <w:pStyle w:val="BodyText"/>
      </w:pPr>
      <w:r>
        <w:t xml:space="preserve">The second optimization algorithm (A2) is a general-purpose convex QP solver applied</w:t>
      </w:r>
      <w:r>
        <w:t xml:space="preserve"> </w:t>
      </w:r>
      <w:r>
        <w:t xml:space="preserve">to the standard SVM dual. No off-the-shelf solver is used elsewhere, save for the</w:t>
      </w:r>
      <w:r>
        <w:t xml:space="preserve"> </w:t>
      </w:r>
      <w:r>
        <w:t xml:space="preserve">master problem of the bundle method.</w:t>
      </w:r>
    </w:p>
    <w:p>
      <w:pPr>
        <w:pStyle w:val="BodyText"/>
      </w:pPr>
      <w:r>
        <w:t xml:space="preserve">Specific discussion is provided in Chapter 6 about if and how</w:t>
      </w:r>
      <w:r>
        <w:t xml:space="preserve"> </w:t>
      </w:r>
      <w:r>
        <w:t xml:space="preserve">solving one training problem in the One-vs-Rest approach may provide useful</w:t>
      </w:r>
      <w:r>
        <w:t xml:space="preserve"> </w:t>
      </w:r>
      <w:r>
        <w:t xml:space="preserve">solutions that help in solving the others.</w:t>
      </w:r>
    </w:p>
    <w:bookmarkEnd w:id="20"/>
    <w:bookmarkEnd w:id="21"/>
    <w:bookmarkStart w:id="26" w:name="_Toc100003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SVM Problem Formulation</w:t>
      </w:r>
    </w:p>
    <w:p>
      <w:pPr>
        <w:pStyle w:val="FirstParagraph"/>
      </w:pPr>
      <w:r>
        <w:t xml:space="preserve">The goal of this chapter is to describe the Support Vector Machine and to derive the</w:t>
      </w:r>
      <w:r>
        <w:t xml:space="preserve"> </w:t>
      </w:r>
      <w:r>
        <w:t xml:space="preserve">Lagrangian dual formulation that defines the optimization task as a quadratic</w:t>
      </w:r>
      <w:r>
        <w:t xml:space="preserve"> </w:t>
      </w:r>
      <w:r>
        <w:t xml:space="preserve">programming problem. The material is standard; it is included because</w:t>
      </w:r>
      <w:r>
        <w:t xml:space="preserve"> </w:t>
      </w:r>
      <w:r>
        <w:t xml:space="preserve">Chapter 3 departs from it at one specific point, the stationarity</w:t>
      </w:r>
      <w:r>
        <w:t xml:space="preserve"> </w:t>
      </w:r>
      <w:r>
        <w:t xml:space="preserve">condition (2.2), and that departure is easier to follow with the</w:t>
      </w:r>
      <w:r>
        <w:t xml:space="preserve"> </w:t>
      </w:r>
      <w:r>
        <w:t xml:space="preserve">usual derivation in front of the reader.</w:t>
      </w:r>
    </w:p>
    <w:bookmarkStart w:id="22" w:name="_Toc100004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Soft margin formulation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sSubSup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p>
          <m:e>
            <m:r>
              <m:t>ℝ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, and let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t>ℝ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ℋ</m:t>
        </m:r>
      </m:oMath>
      <w:r>
        <w:t xml:space="preserve"> </w:t>
      </w:r>
      <w:r>
        <w:t xml:space="preserve">be a feature map into a Hilbert space with reproducing kernel</w:t>
      </w:r>
      <w:r>
        <w:t xml:space="preserve"> </w:t>
      </w:r>
      <m:oMath>
        <m:r>
          <m:t>κ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rPr>
            <m:sty m:val="p"/>
          </m:rPr>
          <m:t>⟨</m:t>
        </m:r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 </m:t>
        </m:r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⟩</m:t>
        </m:r>
      </m:oMath>
      <w:r>
        <w:t xml:space="preserve">. Write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r>
          <m:rPr>
            <m:sty m:val="p"/>
          </m:rPr>
          <m:t>≔</m:t>
        </m:r>
        <m:r>
          <m:t>ϕ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BodyText"/>
      </w:pPr>
      <w:r>
        <w:t xml:space="preserve">A separating hyperplane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r>
          <m:rPr>
            <m:sty m:val="p"/>
          </m:rPr>
          <m:t>⟨</m:t>
        </m:r>
        <m:r>
          <m:t>w</m:t>
        </m:r>
        <m:r>
          <m:rPr>
            <m:sty m:val="p"/>
          </m:rPr>
          <m:t>,</m:t>
        </m:r>
        <m:r>
          <m:t> </m:t>
        </m:r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⟩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classifies correctly</w:t>
      </w:r>
      <w:r>
        <w:t xml:space="preserve"> </w:t>
      </w:r>
      <w:r>
        <w:t xml:space="preserve">with margin at least one 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⟨</m:t>
            </m:r>
            <m:r>
              <m:t>w</m:t>
            </m:r>
            <m:r>
              <m:rPr>
                <m:sty m:val="p"/>
              </m:rPr>
              <m:t>,</m:t>
            </m:r>
            <m:r>
              <m:t> 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⟩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and the</w:t>
      </w:r>
      <w:r>
        <w:t xml:space="preserve"> </w:t>
      </w:r>
      <w:r>
        <w:t xml:space="preserve">geometric margin is then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w</m:t>
        </m:r>
        <m:r>
          <m:rPr>
            <m:sty m:val="p"/>
          </m:rPr>
          <m:t>∥</m:t>
        </m:r>
      </m:oMath>
      <w:r>
        <w:t xml:space="preserve">, so maximising the margin means minimising</w:t>
      </w:r>
      <w:r>
        <w:t xml:space="preserve"> </w:t>
      </w:r>
      <m:oMath>
        <m:r>
          <m:rPr>
            <m:sty m:val="p"/>
          </m:rPr>
          <m:t>∥</m:t>
        </m:r>
        <m:r>
          <m:t>w</m:t>
        </m:r>
        <m:r>
          <m:rPr>
            <m:sty m:val="p"/>
          </m:rPr>
          <m:t>∥</m:t>
        </m:r>
      </m:oMath>
      <w:r>
        <w:t xml:space="preserve">. Since such a hyperplane need not exist, each sample is given a slack</w:t>
      </w:r>
      <w:r>
        <w:t xml:space="preserve"> </w:t>
      </w:r>
      <m:oMath>
        <m:sSub>
          <m:e>
            <m:r>
              <m:t>ξ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which it may fall short of its own margin, penalised linearly with</w:t>
      </w:r>
      <w:r>
        <w:t xml:space="preserve"> </w:t>
      </w:r>
      <w:r>
        <w:t xml:space="preserve">weight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 This gives the soft-margin (</w:t>
      </w:r>
      <m:oMath>
        <m:r>
          <m:t>C</m:t>
        </m:r>
      </m:oMath>
      <w:r>
        <w:t xml:space="preserve">-)SVM:</w:t>
      </w:r>
    </w:p>
    <w:tbl>
      <w:tblPr>
        <w:tblStyle w:val="Table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00"/>
        <w:gridCol w:w="7472"/>
        <w:gridCol w:w="800"/>
      </w:tblGrid>
      <w:tr>
        <w:tc>
          <w:tcPr>
            <w:tcW w:w="800" w:type="dxa"/>
            <w:vAlign w:val="center"/>
          </w:tcPr>
          <w:p>
            <w:pPr>
              <w:pStyle w:val="Compact"/>
            </w:pPr>
          </w:p>
        </w:tc>
        <w:tc>
          <w:tcPr>
            <w:tcW w:w="7472" w:type="dxa"/>
            <w:vAlign w:val="center"/>
          </w:tcPr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limLow>
                        <m:e>
                          <m:r>
                            <m:rPr>
                              <m:sty m:val="p"/>
                            </m:rPr>
                            <m:t>min</m:t>
                          </m:r>
                        </m:e>
                        <m:lim>
                          <m:r>
                            <m:t>w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ℋ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 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ℝ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 </m:t>
                          </m:r>
                          <m:r>
                            <m:t>ξ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p>
                            <m:e>
                              <m:r>
                                <m:t>ℝ</m:t>
                              </m:r>
                            </m:e>
                            <m:sup>
                              <m:r>
                                <m:t>m</m:t>
                              </m:r>
                            </m:sup>
                          </m:sSup>
                        </m:lim>
                      </m:limLow>
                      <m:r>
                        <m:t> </m:t>
                      </m:r>
                    </m:e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∥</m:t>
                      </m:r>
                      <m:r>
                        <m:t>w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∥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m</m:t>
                          </m:r>
                        </m:sup>
                        <m:e>
                          <m:sSub>
                            <m:e>
                              <m:r>
                                <m:t>ξ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mr>
                  <m:mr>
                    <m:e>
                      <m:r>
                        <m:rPr>
                          <m:nor/>
                          <m:sty m:val="p"/>
                        </m:rPr>
                        <m:t>s.t.</m:t>
                      </m:r>
                      <m:r>
                        <m:t> </m:t>
                      </m:r>
                    </m:e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⟨</m:t>
                          </m:r>
                          <m:r>
                            <m:t>w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 </m:t>
                          </m:r>
                          <m:sSub>
                            <m:e>
                              <m:r>
                                <m:t>ϕ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⟩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e>
                      </m:d>
                      <m:r>
                        <m:t> 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 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ξ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  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r>
                        <m:rPr>
                          <m:nor/>
                          <m:sty m:val="p"/>
                        </m:rPr>
                        <m:t> </m:t>
                      </m:r>
                    </m:e>
                    <m:e>
                      <m:sSub>
                        <m:e>
                          <m:r>
                            <m:t>ξ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 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 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  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</w:tc>
        <w:tc>
          <w:tcPr>
            <w:tcW w:w="800" w:type="dxa"/>
            <w:vAlign w:val="center"/>
          </w:tcPr>
          <w:p>
            <w:pPr>
              <w:pStyle w:val="Compact"/>
              <w:jc w:val="right"/>
            </w:pPr>
            <w:r>
              <w:t xml:space="preserve">(P)</w:t>
            </w:r>
          </w:p>
        </w:tc>
      </w:tr>
    </w:tbl>
    <w:p>
      <w:pPr>
        <w:pStyle w:val="BodyText"/>
      </w:pPr>
      <w:r>
        <w:t xml:space="preserve">Here</w:t>
      </w:r>
      <w:r>
        <w:t xml:space="preserve"> </w:t>
      </w:r>
      <m:oMath>
        <m:r>
          <m:rPr>
            <m:sty m:val="p"/>
          </m:rPr>
          <m:t>∥</m:t>
        </m:r>
        <m:r>
          <m:t>w</m:t>
        </m:r>
        <m:r>
          <m:rPr>
            <m:sty m:val="p"/>
          </m:rPr>
          <m:t>∥</m:t>
        </m:r>
      </m:oMath>
      <w:r>
        <w:t xml:space="preserve"> </w:t>
      </w:r>
      <w:r>
        <w:t xml:space="preserve">measures model complexity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weighs the empirical loss against</w:t>
      </w:r>
      <w:r>
        <w:t xml:space="preserve"> </w:t>
      </w:r>
      <w:r>
        <w:t xml:space="preserve">generalisation. Problem (P) is a convex QP, strictly convex in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but</w:t>
      </w:r>
      <w:r>
        <w:t xml:space="preserve"> </w:t>
      </w:r>
      <w:r>
        <w:t xml:space="preserve">only convex in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ξ</m:t>
            </m:r>
          </m:e>
        </m:d>
      </m:oMath>
      <w:r>
        <w:t xml:space="preserve">.</w:t>
      </w:r>
    </w:p>
    <w:p>
      <w:pPr>
        <w:pStyle w:val="BodyText"/>
      </w:pPr>
      <w:r>
        <w:t xml:space="preserve">Eliminating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gives the equivalent unconstrained, non-smooth form</w:t>
      </w:r>
    </w:p>
    <w:tbl>
      <w:tblPr>
        <w:tblStyle w:val="Table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00"/>
        <w:gridCol w:w="7472"/>
        <w:gridCol w:w="800"/>
      </w:tblGrid>
      <w:tr>
        <w:tc>
          <w:tcPr>
            <w:tcW w:w="800" w:type="dxa"/>
            <w:vAlign w:val="center"/>
          </w:tcPr>
          <w:p>
            <w:pPr>
              <w:pStyle w:val="Compact"/>
            </w:pPr>
          </w:p>
        </w:tc>
        <w:tc>
          <w:tcPr>
            <w:tcW w:w="7472" w:type="dxa"/>
            <w:vAlign w:val="center"/>
          </w:tcPr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min</m:t>
                    </m:r>
                  </m:e>
                  <m:lim>
                    <m:r>
                      <m:t>w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</m:lim>
                </m:limLow>
                <m:r>
                  <m:t> 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∥</m:t>
                </m:r>
                <m:r>
                  <m:t>w</m:t>
                </m:r>
                <m:sSup>
                  <m:e>
                    <m:r>
                      <m:rPr>
                        <m:sty m:val="p"/>
                      </m:rPr>
                      <m:t>∥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C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sSup>
                      <m:e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m:t>⟨</m:t>
                                </m:r>
                                <m:r>
                                  <m:t>w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 </m:t>
                                </m:r>
                                <m:sSub>
                                  <m:e>
                                    <m:r>
                                      <m:t>ϕ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⟩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b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m:rPr>
                            <m:nor/>
                            <m:sty m:val="p"/>
                          </m:rPr>
                          <m:t>+</m:t>
                        </m:r>
                      </m:sup>
                    </m:sSup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s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  <m:sup>
                    <m:r>
                      <m:rPr>
                        <m:nor/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≔</m:t>
                </m:r>
                <m:r>
                  <m:rPr>
                    <m:sty m:val="p"/>
                  </m:rPr>
                  <m:t>max</m:t>
                </m:r>
                <m:r>
                  <m:rPr>
                    <m:sty m:val="p"/>
                  </m:rPr>
                  <m:t>{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w="800" w:type="dxa"/>
            <w:vAlign w:val="center"/>
          </w:tcPr>
          <w:p>
            <w:pPr>
              <w:pStyle w:val="Compact"/>
              <w:jc w:val="right"/>
            </w:pPr>
            <w:r>
              <w:t xml:space="preserve">(2.1)</w:t>
            </w:r>
          </w:p>
        </w:tc>
      </w:tr>
    </w:tbl>
    <w:p>
      <w:pPr>
        <w:pStyle w:val="BodyText"/>
      </w:pPr>
      <w:r>
        <w:t xml:space="preserve">which is the form in which the SVM appears in the course material as the motivating</w:t>
      </w:r>
      <w:r>
        <w:t xml:space="preserve"> </w:t>
      </w:r>
      <w:r>
        <w:t xml:space="preserve">example for nondifferentiable optimization. We shall meet it again, unexpectedly, in</w:t>
      </w:r>
      <w:r>
        <w:t xml:space="preserve"> </w:t>
      </w:r>
      <w:r>
        <w:t xml:space="preserve">Section 3.5.</w:t>
      </w:r>
    </w:p>
    <w:bookmarkEnd w:id="22"/>
    <w:bookmarkStart w:id="23" w:name="_Toc100005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Dual formulation</w:t>
      </w:r>
    </w:p>
    <w:p>
      <w:pPr>
        <w:pStyle w:val="FirstParagraph"/>
      </w:pPr>
      <w:r>
        <w:t xml:space="preserve">Attach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to the margin constraints and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ξ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ξ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μ</m:t>
              </m:r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∥</m:t>
          </m:r>
          <m:r>
            <m:t>w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sSup>
            <m:e>
              <m:r>
                <m:rPr>
                  <m:sty m:val="b"/>
                </m:rPr>
                <m:t>1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ξ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ξ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⟨</m:t>
                  </m:r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⟩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e>
          </m:d>
          <m:r>
            <m:rPr>
              <m:sty m:val="p"/>
            </m:rPr>
            <m:t>−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ξ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Stationarity in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ξ</m:t>
            </m:r>
          </m:e>
        </m:d>
      </m:oMath>
      <w:r>
        <w:t xml:space="preserve"> </w:t>
      </w:r>
      <w:r>
        <w:t xml:space="preserve">gives the three conditions</w:t>
      </w:r>
    </w:p>
    <w:tbl>
      <w:tblPr>
        <w:tblStyle w:val="Table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00"/>
        <w:gridCol w:w="7472"/>
        <w:gridCol w:w="800"/>
      </w:tblGrid>
      <w:tr>
        <w:tc>
          <w:tcPr>
            <w:tcW w:w="800" w:type="dxa"/>
            <w:vAlign w:val="center"/>
          </w:tcPr>
          <w:p>
            <w:pPr>
              <w:pStyle w:val="Compact"/>
            </w:pPr>
          </w:p>
        </w:tc>
        <w:tc>
          <w:tcPr>
            <w:tcW w:w="7472" w:type="dxa"/>
            <w:vAlign w:val="center"/>
          </w:tcPr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r>
                  <m:t>w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ϕ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α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μ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800" w:type="dxa"/>
            <w:vAlign w:val="center"/>
          </w:tcPr>
          <w:p>
            <w:pPr>
              <w:pStyle w:val="Compact"/>
              <w:jc w:val="right"/>
            </w:pPr>
            <w:r>
              <w:t xml:space="preserve">(2.2)</w:t>
            </w:r>
          </w:p>
        </w:tc>
      </w:tr>
    </w:tbl>
    <w:p>
      <w:pPr>
        <w:pStyle w:val="BodyText"/>
      </w:pPr>
      <w:r>
        <w:t xml:space="preserve">The first is the</w:t>
      </w:r>
      <w:r>
        <w:t xml:space="preserve"> </w:t>
      </w:r>
      <w:r>
        <w:rPr>
          <w:iCs/>
          <w:i/>
        </w:rPr>
        <w:t xml:space="preserve">representer identity</w:t>
      </w:r>
      <w:r>
        <w:t xml:space="preserve">; it is the hinge on which this whole</w:t>
      </w:r>
      <w:r>
        <w:t xml:space="preserve"> </w:t>
      </w:r>
      <w:r>
        <w:t xml:space="preserve">project turns — Chapter 3 dualises precisely this condition.</w:t>
      </w:r>
    </w:p>
    <w:p>
      <w:pPr>
        <w:pStyle w:val="BodyText"/>
      </w:pPr>
      <w:r>
        <w:t xml:space="preserve">Substituting the three conditions back into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makes every term collapse. Writing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κ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nor/>
            <m:sty m:val="p"/>
          </m:rPr>
          <m:t>diag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Y</m:t>
        </m:r>
        <m:r>
          <m:t>K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∥</m:t>
          </m:r>
          <m:r>
            <m:t>w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α</m:t>
              </m:r>
            </m:e>
            <m:sub>
              <m:r>
                <m:t>j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j</m:t>
              </m:r>
            </m:sub>
          </m:sSub>
          <m:sSub>
            <m:e>
              <m:r>
                <m:t>K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α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Q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⟨</m:t>
          </m:r>
          <m:r>
            <m:t>w</m:t>
          </m:r>
          <m:r>
            <m:rPr>
              <m:sty m:val="p"/>
            </m:rPr>
            <m:t>,</m:t>
          </m:r>
          <m:r>
            <m:t> </m:t>
          </m:r>
          <m:sSub>
            <m:e>
              <m:r>
                <m:t>ϕ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⟨"/>
              <m:endChr m:val="⟩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,</m:t>
              </m:r>
              <m:r>
                <m:t>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∥</m:t>
          </m:r>
          <m:r>
            <m:t>w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 </m:t>
          </m:r>
          <m:sSup>
            <m:e>
              <m:r>
                <m:t>α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Q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 </m:t>
          </m:r>
          <m:r>
            <m:t>b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by the </m:t>
              </m:r>
              <m:r>
                <m:t>b</m:t>
              </m:r>
              <m:r>
                <m:rPr>
                  <m:nor/>
                  <m:sty m:val="p"/>
                </m:rPr>
                <m:t> condition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ξ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by the </m:t>
              </m:r>
              <m:r>
                <m:t>ξ</m:t>
              </m:r>
              <m:r>
                <m:rPr>
                  <m:nor/>
                  <m:sty m:val="p"/>
                </m:rPr>
                <m:t> condition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leaving</w:t>
      </w:r>
      <w:r>
        <w:t xml:space="preserve"> </w:t>
      </w:r>
      <m:oMath>
        <m:sSup>
          <m:e>
            <m:r>
              <m:rPr>
                <m:sty m:val="b"/>
              </m:rPr>
              <m:t>1</m:t>
            </m:r>
          </m:e>
          <m:sup>
            <m:r>
              <m:rPr>
                <m:sty m:val="p"/>
              </m:rPr>
              <m:t>⊤</m:t>
            </m:r>
          </m:sup>
        </m:sSup>
        <m:r>
          <m:t>α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α</m:t>
            </m:r>
          </m:e>
          <m:sup>
            <m:r>
              <m:rPr>
                <m:sty m:val="p"/>
              </m:rPr>
              <m:t>⊤</m:t>
            </m:r>
          </m:sup>
        </m:sSup>
        <m:r>
          <m:t>Q</m:t>
        </m:r>
        <m:r>
          <m:t>α</m:t>
        </m:r>
      </m:oMath>
      <w:r>
        <w:t xml:space="preserve">, to be maximised. Two</w:t>
      </w:r>
      <w:r>
        <w:t xml:space="preserve"> </w:t>
      </w:r>
      <w:r>
        <w:t xml:space="preserve">remarks on how the constraints of the dual arise, because both are easy to state</w:t>
      </w:r>
      <w:r>
        <w:t xml:space="preserve"> </w:t>
      </w:r>
      <w:r>
        <w:t xml:space="preserve">loosely: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together give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 which with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is the box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≤</m:t>
        </m:r>
        <m:r>
          <m:t>C</m:t>
        </m:r>
        <m:r>
          <m:rPr>
            <m:sty m:val="b"/>
          </m:rPr>
          <m:t>1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  <w:spacing w:before="0" w:after="140"/>
      </w:pPr>
      <m:oMath>
        <m:r>
          <m:t>b</m:t>
        </m:r>
      </m:oMath>
      <w:r>
        <w:t xml:space="preserve"> </w:t>
      </w:r>
      <w:r>
        <w:t xml:space="preserve">enters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only through the term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free</w:t>
      </w:r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b</m:t>
            </m:r>
          </m:sub>
        </m:sSub>
        <m:r>
          <m:t>L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unless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The</w:t>
      </w:r>
      <w:r>
        <w:t xml:space="preserve"> </w:t>
      </w:r>
      <m:oMath>
        <m:r>
          <m:t>b</m:t>
        </m:r>
      </m:oMath>
      <w:r>
        <w:t xml:space="preserve">-stationarity condition therefore does not disappear when it is used to</w:t>
      </w:r>
      <w:r>
        <w:t xml:space="preserve"> </w:t>
      </w:r>
      <w:r>
        <w:t xml:space="preserve">cancel that term: it survives as the constraint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⊤</m:t>
            </m:r>
          </m:sup>
        </m:sSup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Writing the result as a minimisation of the negative, the dual of (P)</w:t>
      </w:r>
      <w:r>
        <w:t xml:space="preserve"> </w:t>
      </w:r>
      <w:r>
        <w:t xml:space="preserve">is the convex QP</w:t>
      </w:r>
    </w:p>
    <w:tbl>
      <w:tblPr>
        <w:tblStyle w:val="Table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00"/>
        <w:gridCol w:w="7472"/>
        <w:gridCol w:w="800"/>
      </w:tblGrid>
      <w:tr>
        <w:tc>
          <w:tcPr>
            <w:tcW w:w="800" w:type="dxa"/>
            <w:vAlign w:val="center"/>
          </w:tcPr>
          <w:p>
            <w:pPr>
              <w:pStyle w:val="Compact"/>
            </w:pPr>
          </w:p>
        </w:tc>
        <w:tc>
          <w:tcPr>
            <w:tcW w:w="7472" w:type="dxa"/>
            <w:vAlign w:val="center"/>
          </w:tcPr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min</m:t>
                    </m:r>
                  </m:e>
                  <m:lim>
                    <m:r>
                      <m:t>α</m:t>
                    </m:r>
                    <m:r>
                      <m:rPr>
                        <m:sty m:val="p"/>
                      </m:rPr>
                      <m:t>∈</m:t>
                    </m:r>
                    <m:sSup>
                      <m:e>
                        <m:r>
                          <m:t>ℝ</m:t>
                        </m:r>
                      </m:e>
                      <m:sup>
                        <m:r>
                          <m:t>m</m:t>
                        </m:r>
                      </m:sup>
                    </m:sSup>
                  </m:lim>
                </m:limLow>
                <m:r>
                  <m:t> </m:t>
                </m:r>
                <m:r>
                  <m:t> 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 </m:t>
                </m:r>
                <m:sSup>
                  <m:e>
                    <m:r>
                      <m:t>α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Q</m:t>
                </m:r>
                <m:r>
                  <m:t> </m:t>
                </m:r>
                <m:r>
                  <m:t>α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sty m:val="b"/>
                      </m:rPr>
                      <m:t>1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α</m:t>
                </m:r>
                <m:r>
                  <m:t>  </m:t>
                </m:r>
                <m:r>
                  <m:rPr>
                    <m:nor/>
                    <m:sty m:val="p"/>
                  </m:rPr>
                  <m:t>s.t.</m:t>
                </m:r>
                <m:r>
                  <m:t>  </m:t>
                </m:r>
                <m:r>
                  <m:t>α</m:t>
                </m:r>
                <m:r>
                  <m:rPr>
                    <m:sty m:val="p"/>
                  </m:rPr>
                  <m:t>∈</m:t>
                </m:r>
                <m:r>
                  <m:t>D</m:t>
                </m:r>
                <m:r>
                  <m:rPr>
                    <m:sty m:val="p"/>
                  </m:rPr>
                  <m:t>≔</m:t>
                </m:r>
                <m:d>
                  <m:dPr>
                    <m:begChr m:val="{"/>
                    <m:endChr m:val="}"/>
                    <m:sepChr m:val="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α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C</m:t>
                    </m:r>
                    <m:r>
                      <m:rPr>
                        <m:sty m:val="b"/>
                      </m:rP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800" w:type="dxa"/>
            <w:vAlign w:val="center"/>
          </w:tcPr>
          <w:p>
            <w:pPr>
              <w:pStyle w:val="Compact"/>
              <w:jc w:val="right"/>
            </w:pPr>
            <w:r>
              <w:t xml:space="preserve">(D)</w:t>
            </w:r>
          </w:p>
        </w:tc>
      </w:tr>
    </w:tbl>
    <w:p>
      <w:pPr>
        <w:pStyle w:val="BodyText"/>
      </w:pPr>
      <m:oMath>
        <m:r>
          <m:t>D</m:t>
        </m:r>
      </m:oMath>
      <w:r>
        <w:t xml:space="preserve"> </w:t>
      </w:r>
      <w:r>
        <w:t xml:space="preserve">is a non-empty (</w:t>
      </w:r>
      <m:oMath>
        <m:r>
          <m:t>0</m:t>
        </m:r>
        <m:r>
          <m:rPr>
            <m:sty m:val="p"/>
          </m:rPr>
          <m:t>∈</m:t>
        </m:r>
        <m:r>
          <m:t>D</m:t>
        </m:r>
      </m:oMath>
      <w:r>
        <w:t xml:space="preserve">) compact polytope and</w:t>
      </w:r>
      <w:r>
        <w:t xml:space="preserve"> </w:t>
      </w:r>
      <m:oMath>
        <m:r>
          <m:t>Q</m:t>
        </m:r>
        <m:r>
          <m:rPr>
            <m:sty m:val="p"/>
          </m:rPr>
          <m:t>≽</m:t>
        </m:r>
        <m:r>
          <m:t>0</m:t>
        </m:r>
      </m:oMath>
      <w:r>
        <w:t xml:space="preserve">, so (D)</w:t>
      </w:r>
      <w:r>
        <w:t xml:space="preserve"> </w:t>
      </w:r>
      <w:r>
        <w:t xml:space="preserve">always has a solution. Slater’s condition holds for (P), hence there</w:t>
      </w:r>
      <w:r>
        <w:t xml:space="preserve"> </w:t>
      </w:r>
      <w:r>
        <w:t xml:space="preserve">is no duality gap and the KKT conditions</w:t>
      </w:r>
    </w:p>
    <w:tbl>
      <w:tblPr>
        <w:tblStyle w:val="Table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00"/>
        <w:gridCol w:w="7472"/>
        <w:gridCol w:w="800"/>
      </w:tblGrid>
      <w:tr>
        <w:tc>
          <w:tcPr>
            <w:tcW w:w="800" w:type="dxa"/>
            <w:vAlign w:val="center"/>
          </w:tcPr>
          <w:p>
            <w:pPr>
              <w:pStyle w:val="Compact"/>
            </w:pPr>
          </w:p>
        </w:tc>
        <w:tc>
          <w:tcPr>
            <w:tcW w:w="7472" w:type="dxa"/>
            <w:vAlign w:val="center"/>
          </w:tcPr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t> </m:t>
                      </m:r>
                    </m:e>
                    <m:e>
                      <m:r>
                        <m:rPr>
                          <m:sty m:val="p"/>
                        </m:rPr>
                        <m:t>⇒</m:t>
                      </m:r>
                      <m:r>
                        <m:t> 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≥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&lt;</m:t>
                      </m:r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&lt;</m:t>
                      </m:r>
                      <m:r>
                        <m:t>C</m:t>
                      </m:r>
                      <m:r>
                        <m:t> </m:t>
                      </m:r>
                    </m:e>
                    <m:e>
                      <m:r>
                        <m:rPr>
                          <m:sty m:val="p"/>
                        </m:rPr>
                        <m:t>⇒</m:t>
                      </m:r>
                      <m:r>
                        <m:t> 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C</m:t>
                      </m:r>
                      <m:r>
                        <m:t> </m:t>
                      </m:r>
                    </m:e>
                    <m:e>
                      <m:r>
                        <m:rPr>
                          <m:sty m:val="p"/>
                        </m:rPr>
                        <m:t>⇒</m:t>
                      </m:r>
                      <m:r>
                        <m:t> 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≤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</m:m>
              </m:oMath>
            </m:oMathPara>
          </w:p>
        </w:tc>
        <w:tc>
          <w:tcPr>
            <w:tcW w:w="800" w:type="dxa"/>
            <w:vAlign w:val="center"/>
          </w:tcPr>
          <w:p>
            <w:pPr>
              <w:pStyle w:val="Compact"/>
              <w:jc w:val="right"/>
            </w:pPr>
            <w:r>
              <w:t xml:space="preserve">(2.3)</w:t>
            </w:r>
          </w:p>
        </w:tc>
      </w:tr>
    </w:tbl>
    <w:p>
      <w:pPr>
        <w:pStyle w:val="BodyText"/>
      </w:pPr>
      <w:r>
        <w:t xml:space="preserve">characterise optimality, where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t>κ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</m:e>
        </m:d>
        <m:r>
          <m:rPr>
            <m:sty m:val="p"/>
          </m:rPr>
          <m:t>+</m:t>
        </m:r>
        <m:r>
          <m:t>b</m:t>
        </m:r>
      </m:oMath>
      <w:r>
        <w:t xml:space="preserve">. Samples with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iCs/>
          <w:i/>
        </w:rPr>
        <w:t xml:space="preserve">support vectors</w:t>
      </w:r>
      <w:r>
        <w:t xml:space="preserve">; those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iCs/>
          <w:i/>
        </w:rPr>
        <w:t xml:space="preserve">free</w:t>
      </w:r>
      <w:r>
        <w:t xml:space="preserve"> </w:t>
      </w:r>
      <w:r>
        <w:t xml:space="preserve">support vectors. Their number will turn out to control the cost of (A1);</w:t>
      </w:r>
      <w:r>
        <w:t xml:space="preserve"> </w:t>
      </w:r>
      <w:r>
        <w:t xml:space="preserve">see Section 4.4.</w:t>
      </w:r>
    </w:p>
    <w:bookmarkEnd w:id="23"/>
    <w:bookmarkStart w:id="24" w:name="_Toc100006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Primal and dual variables</w:t>
      </w:r>
    </w:p>
    <w:p>
      <w:pPr>
        <w:pStyle w:val="FirstParagraph"/>
      </w:pPr>
      <w:r>
        <w:t xml:space="preserve">Given an optimal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of (D), the primal variables come back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Sup>
                <m:e>
                  <m:r>
                    <m:t>α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⋆</m:t>
                  </m:r>
                </m:sup>
              </m:sSubSup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sSub>
            <m:e>
              <m:r>
                <m:t>ϕ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t>ξ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⋆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⟨</m:t>
                      </m:r>
                      <m:sSup>
                        <m:e>
                          <m:r>
                            <m:t>w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⋆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sSub>
                        <m:e>
                          <m:r>
                            <m:t>ϕ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⟩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⋆</m:t>
                          </m:r>
                        </m:sup>
                      </m:sSup>
                    </m:e>
                  </m:d>
                  <m:r>
                    <m:t> </m:t>
                  </m:r>
                </m:e>
              </m:d>
            </m:e>
            <m:sup>
              <m:r>
                <m:rPr>
                  <m:nor/>
                  <m:sty m:val="p"/>
                </m:rPr>
                <m:t>+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first directly from the representer identity and the second from primal</w:t>
      </w:r>
      <w:r>
        <w:t xml:space="preserve"> </w:t>
      </w:r>
      <w:r>
        <w:t xml:space="preserve">feasibility of the margin constraint together with complementarity on</w:t>
      </w:r>
      <w:r>
        <w:t xml:space="preserve"> </w:t>
      </w:r>
      <m:oMath>
        <m:sSub>
          <m:e>
            <m:r>
              <m:t>ξ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(note the factor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inside:</w:t>
      </w:r>
      <w:r>
        <w:t xml:space="preserve"> </w:t>
      </w:r>
      <m:oMath>
        <m:sSub>
          <m:e>
            <m:r>
              <m:t>ξ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measures the violation of</w:t>
      </w:r>
      <w:r>
        <w:t xml:space="preserve"> </w:t>
      </w:r>
      <w:r>
        <w:rPr>
          <w:iCs/>
          <w:i/>
        </w:rPr>
        <w:t xml:space="preserve">the sample’s</w:t>
      </w:r>
      <w:r>
        <w:rPr>
          <w:iCs/>
          <w:i/>
        </w:rPr>
        <w:t xml:space="preserve"> </w:t>
      </w:r>
      <w:r>
        <w:rPr>
          <w:iCs/>
          <w:i/>
        </w:rPr>
        <w:t xml:space="preserve">own</w:t>
      </w:r>
      <w:r>
        <w:t xml:space="preserve"> </w:t>
      </w:r>
      <w:r>
        <w:t xml:space="preserve">margin, not of the hyperplane equation).</w:t>
      </w:r>
    </w:p>
    <w:p>
      <w:pPr>
        <w:pStyle w:val="BodyText"/>
      </w:pPr>
      <w:r>
        <w:t xml:space="preserve">The bias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deserves more care. The textbook recipe reads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off any</w:t>
      </w:r>
      <w:r>
        <w:t xml:space="preserve"> </w:t>
      </w:r>
      <w:r>
        <w:t xml:space="preserve">free support vector via (2.3) and averages over them for stability; but the</w:t>
      </w:r>
      <w:r>
        <w:t xml:space="preserve"> </w:t>
      </w:r>
      <w:r>
        <w:t xml:space="preserve">average is only as good as the set of indices identified as free, so a solver that</w:t>
      </w:r>
      <w:r>
        <w:t xml:space="preserve"> </w:t>
      </w:r>
      <w:r>
        <w:t xml:space="preserve">is merely close to optimal produces a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degrades the measured primal–dual</w:t>
      </w:r>
      <w:r>
        <w:t xml:space="preserve"> </w:t>
      </w:r>
      <w:r>
        <w:t xml:space="preserve">gap. The better observation is that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enters the Lagrangian only through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so</w:t>
      </w:r>
      <w:r>
        <w:t xml:space="preserve"> </w:t>
      </w:r>
      <m:oMath>
        <m:r>
          <m:t>b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is the multiplier of the equality constraint</w:t>
      </w:r>
      <w:r>
        <w:rPr>
          <w:iCs/>
          <w:i/>
        </w:rP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⊤</m:t>
            </m:r>
          </m:sup>
        </m:sSup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. Any algorithm that produces that multiplier explicitly can use</w:t>
      </w:r>
      <w:r>
        <w:t xml:space="preserve"> </w:t>
      </w:r>
      <w:r>
        <w:t xml:space="preserve">it directly, with no support-vector bookkeeping at all. For an interior-point method</w:t>
      </w:r>
      <w:r>
        <w:t xml:space="preserve"> </w:t>
      </w:r>
      <w:r>
        <w:t xml:space="preserve">it is one of the iterates; in our case the knapsack of Section 3.3</w:t>
      </w:r>
      <w:r>
        <w:t xml:space="preserve"> </w:t>
      </w:r>
      <w:r>
        <w:t xml:space="preserve">supplies it at every oracle call, as (3.3) proves by LP duality.</w:t>
      </w:r>
    </w:p>
    <w:bookmarkEnd w:id="24"/>
    <w:bookmarkStart w:id="25" w:name="_Toc100007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Kernel trick</w:t>
      </w:r>
    </w:p>
    <w:p>
      <w:pPr>
        <w:pStyle w:val="FirstParagraph"/>
      </w:pPr>
      <w:r>
        <w:t xml:space="preserve">Only inner products appear in (D), so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need never be formed. The</w:t>
      </w:r>
      <w:r>
        <w:t xml:space="preserve"> </w:t>
      </w:r>
      <w:r>
        <w:t xml:space="preserve">kernels used in this report are</w:t>
      </w:r>
    </w:p>
    <w:p>
      <w:pPr>
        <w:pStyle w:val="Compact"/>
        <w:numPr>
          <w:ilvl w:val="0"/>
          <w:numId w:val="1002"/>
        </w:numPr>
      </w:pPr>
      <w:r>
        <w:t xml:space="preserve">linear:</w:t>
      </w:r>
      <w:r>
        <w:t xml:space="preserve"> </w:t>
      </w:r>
      <m:oMath>
        <m:r>
          <m:t>κ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r>
          <m:rPr>
            <m:sty m:val="p"/>
          </m:rPr>
          <m:t>′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polynomial:</w:t>
      </w:r>
      <w:r>
        <w:t xml:space="preserve"> </w:t>
      </w:r>
      <m:oMath>
        <m:r>
          <m:t>κ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γ</m:t>
                </m:r>
                <m:r>
                  <m:t> </m:t>
                </m:r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x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c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  <w:spacing w:before="0" w:after="140"/>
      </w:pPr>
      <w:r>
        <w:t xml:space="preserve">Gaussian (RBF):</w:t>
      </w:r>
      <w:r>
        <w:t xml:space="preserve"> </w:t>
      </w:r>
      <m:oMath>
        <m:r>
          <m:t>κ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γ</m:t>
            </m:r>
            <m:r>
              <m:rPr>
                <m:sty m:val="p"/>
              </m:rPr>
              <m:t>∥</m:t>
            </m:r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′</m:t>
            </m:r>
            <m:sSup>
              <m:e>
                <m:r>
                  <m:rPr>
                    <m:sty m:val="p"/>
                  </m:rPr>
                  <m:t>∥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Unlike the linear case, for a nonlinear kernel</w:t>
      </w:r>
      <w:r>
        <w:t xml:space="preserve"> </w:t>
      </w:r>
      <m:oMath>
        <m:r>
          <m:t>ℋ</m:t>
        </m:r>
      </m:oMath>
      <w:r>
        <w:t xml:space="preserve"> </w:t>
      </w:r>
      <w:r>
        <w:t xml:space="preserve">may be infinite-dimensional;</w:t>
      </w:r>
      <w:r>
        <w:t xml:space="preserve"> </w:t>
      </w:r>
      <w:r>
        <w:t xml:space="preserve">Section 4.3 explains how the dual variable of (A1) is represented in</w:t>
      </w:r>
      <w:r>
        <w:t xml:space="preserve"> </w:t>
      </w:r>
      <w:r>
        <w:t xml:space="preserve">that case.</w:t>
      </w:r>
    </w:p>
    <w:bookmarkEnd w:id="25"/>
    <w:bookmarkEnd w:id="26"/>
    <w:bookmarkStart w:id="33" w:name="_Toc100008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The Lagrangian Dual</w:t>
      </w:r>
    </w:p>
    <w:bookmarkStart w:id="27" w:name="_Toc100009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Which constraints to dualise</w:t>
      </w:r>
    </w:p>
    <w:p>
      <w:pPr>
        <w:pStyle w:val="FirstParagraph"/>
      </w:pPr>
      <w:r>
        <w:t xml:space="preserve">For a Lagrangian dual approach to be worth building, the relaxation must satisfy:</w:t>
      </w:r>
    </w:p>
    <w:p>
      <w:pPr>
        <w:pStyle w:val="Requirement"/>
      </w:pPr>
      <w:r>
        <w:rPr>
          <w:bCs/>
          <w:b/>
        </w:rPr>
        <w:t xml:space="preserve">(R1)</w:t>
      </w:r>
      <w:r>
        <w:tab/>
      </w:r>
      <w:r>
        <w:t xml:space="preserve">the relaxed problem must be</w:t>
      </w:r>
      <w:r>
        <w:t xml:space="preserve"> </w:t>
      </w:r>
      <w:r>
        <w:rPr>
          <w:iCs/>
          <w:i/>
        </w:rPr>
        <w:t xml:space="preserve">substantially easier</w:t>
      </w:r>
      <w:r>
        <w:t xml:space="preserve"> </w:t>
      </w:r>
      <w:r>
        <w:t xml:space="preserve">than the</w:t>
      </w:r>
      <w:r>
        <w:t xml:space="preserve"> </w:t>
      </w:r>
      <w:r>
        <w:t xml:space="preserve">original — ideally closed-form or combinatorial;</w:t>
      </w:r>
    </w:p>
    <w:p>
      <w:pPr>
        <w:pStyle w:val="Requirement"/>
      </w:pPr>
      <w:r>
        <w:rPr>
          <w:bCs/>
          <w:b/>
        </w:rPr>
        <w:t xml:space="preserve">(R2)</w:t>
      </w:r>
      <w:r>
        <w:tab/>
      </w:r>
      <w:r>
        <w:t xml:space="preserve">the dual must be</w:t>
      </w:r>
      <w:r>
        <w:t xml:space="preserve"> </w:t>
      </w:r>
      <w:r>
        <w:rPr>
          <w:iCs/>
          <w:i/>
        </w:rPr>
        <w:t xml:space="preserve">multi-dimensional</w:t>
      </w:r>
      <w:r>
        <w:t xml:space="preserve">, otherwise a one-dimensional</w:t>
      </w:r>
      <w:r>
        <w:t xml:space="preserve"> </w:t>
      </w:r>
      <w:r>
        <w:t xml:space="preserve">search solves it and bundle machinery is pointless;</w:t>
      </w:r>
    </w:p>
    <w:p>
      <w:pPr>
        <w:pStyle w:val="Requirement"/>
      </w:pPr>
      <w:r>
        <w:rPr>
          <w:bCs/>
          <w:b/>
        </w:rPr>
        <w:t xml:space="preserve">(R3)</w:t>
      </w:r>
      <w:r>
        <w:tab/>
      </w:r>
      <w:r>
        <w:t xml:space="preserve">the dual should be</w:t>
      </w:r>
      <w:r>
        <w:t xml:space="preserve"> </w:t>
      </w:r>
      <w:r>
        <w:rPr>
          <w:iCs/>
          <w:i/>
        </w:rPr>
        <w:t xml:space="preserve">genuinely non-differentiable</w:t>
      </w:r>
      <w:r>
        <w:t xml:space="preserve">, otherwise a</w:t>
      </w:r>
      <w:r>
        <w:t xml:space="preserve"> </w:t>
      </w:r>
      <w:r>
        <w:t xml:space="preserve">smooth method is preferable.</w:t>
      </w:r>
    </w:p>
    <w:p>
      <w:pPr>
        <w:pStyle w:val="BodyText"/>
      </w:pPr>
      <w:r>
        <w:t xml:space="preserve">Relaxing the single equality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⊤</m:t>
            </m:r>
          </m:sup>
        </m:sSup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 (D) violates (R1)</w:t>
      </w:r>
      <w:r>
        <w:t xml:space="preserve"> </w:t>
      </w:r>
      <w:r>
        <w:t xml:space="preserve">and (R2): what is left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d>
            <m:dPr>
              <m:begChr m:val="{"/>
              <m:endChr m:val="}"/>
              <m:sepChr m:val="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Q</m:t>
              </m:r>
              <m:r>
                <m:t>α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"/>
                    </m:rPr>
                    <m:t>1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α</m:t>
              </m:r>
              <m:r>
                <m:rPr>
                  <m:sty m:val="p"/>
                </m:rPr>
                <m:t>+</m:t>
              </m:r>
              <m:r>
                <m:t>θ</m:t>
              </m:r>
              <m:r>
                <m:t> 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α</m:t>
              </m:r>
              <m:r>
                <m:t> </m:t>
              </m:r>
              <m:r>
                <m:rPr>
                  <m:sty m:val="p"/>
                </m:rPr>
                <m:t>: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rPr>
                  <m:sty m:val="p"/>
                </m:rPr>
                <m:t>≤</m:t>
              </m:r>
              <m:r>
                <m:t>C</m:t>
              </m:r>
              <m:r>
                <m:rPr>
                  <m:sty m:val="b"/>
                </m:rPr>
                <m:t>1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box-constrained QP with the</w:t>
      </w:r>
      <w:r>
        <w:t xml:space="preserve"> </w:t>
      </w:r>
      <w:r>
        <w:rPr>
          <w:iCs/>
          <w:i/>
        </w:rPr>
        <w:t xml:space="preserve">same dense Hessian</w:t>
      </w:r>
      <w:r>
        <w:t xml:space="preserve"> </w:t>
      </w:r>
      <w:r>
        <w:t xml:space="preserve">— the unbiased SVM, no</w:t>
      </w:r>
      <w:r>
        <w:t xml:space="preserve"> </w:t>
      </w:r>
      <w:r>
        <w:t xml:space="preserve">easier than the original — and the dual is univariate. Relaxing the box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C</m:t>
        </m:r>
        <m:r>
          <m:rPr>
            <m:sty m:val="b"/>
          </m:rPr>
          <m:t>1</m:t>
        </m:r>
      </m:oMath>
      <w:r>
        <w:t xml:space="preserve"> </w:t>
      </w:r>
      <w:r>
        <w:t xml:space="preserve">fares no better: the relaxation is again a QP in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The reason is structural: in (D)</w:t>
      </w:r>
      <w:r>
        <w:t xml:space="preserve"> </w:t>
      </w:r>
      <w:r>
        <w:rPr>
          <w:iCs/>
          <w:i/>
        </w:rPr>
        <w:t xml:space="preserve">no constraint is the difficulty</w:t>
      </w:r>
      <w:r>
        <w:t xml:space="preserve">.</w:t>
      </w:r>
      <w:r>
        <w:t xml:space="preserve"> </w:t>
      </w:r>
      <w:r>
        <w:t xml:space="preserve">The difficulty is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itself, a dense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matrix. So the object to dualise is</w:t>
      </w:r>
      <w:r>
        <w:t xml:space="preserve"> </w:t>
      </w:r>
      <w:r>
        <w:t xml:space="preserve">not a constraint of (D) at all — it is the identity that</w:t>
      </w:r>
      <w:r>
        <w:t xml:space="preserve"> </w:t>
      </w:r>
      <w:r>
        <w:rPr>
          <w:iCs/>
          <w:i/>
        </w:rPr>
        <w:t xml:space="preserve">created</w:t>
      </w:r>
      <w:r>
        <w:t xml:space="preserve"> </w:t>
      </w:r>
      <m:oMath>
        <m:r>
          <m:t>Q</m:t>
        </m:r>
      </m:oMath>
      <w:r>
        <w:t xml:space="preserve">.</w:t>
      </w:r>
    </w:p>
    <w:bookmarkEnd w:id="27"/>
    <w:bookmarkStart w:id="28" w:name="_Toc100010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Dualising the representer identity</w:t>
      </w:r>
    </w:p>
    <w:p>
      <w:pPr>
        <w:pStyle w:val="FirstParagraph"/>
      </w:pPr>
      <m:oMath>
        <m:r>
          <m:t>Q</m:t>
        </m:r>
      </m:oMath>
      <w:r>
        <w:t xml:space="preserve"> </w:t>
      </w:r>
      <w:r>
        <w:t xml:space="preserve">appears in (D) only because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eliminated through the</w:t>
      </w:r>
      <w:r>
        <w:t xml:space="preserve"> </w:t>
      </w:r>
      <w:r>
        <w:t xml:space="preserve">representer identity (2.2). Put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back:</w:t>
      </w:r>
    </w:p>
    <w:tbl>
      <w:tblPr>
        <w:tblStyle w:val="Table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00"/>
        <w:gridCol w:w="7472"/>
        <w:gridCol w:w="800"/>
      </w:tblGrid>
      <w:tr>
        <w:tc>
          <w:tcPr>
            <w:tcW w:w="800" w:type="dxa"/>
            <w:vAlign w:val="center"/>
          </w:tcPr>
          <w:p>
            <w:pPr>
              <w:pStyle w:val="Compact"/>
            </w:pPr>
          </w:p>
        </w:tc>
        <w:tc>
          <w:tcPr>
            <w:tcW w:w="7472" w:type="dxa"/>
            <w:vAlign w:val="center"/>
          </w:tcPr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min</m:t>
                    </m:r>
                  </m:e>
                  <m:lim>
                    <m:r>
                      <m:t>α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w</m:t>
                    </m:r>
                  </m:lim>
                </m:limLow>
                <m:r>
                  <m:t> </m:t>
                </m:r>
                <m:r>
                  <m:t> 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∥</m:t>
                </m:r>
                <m:r>
                  <m:t>w</m:t>
                </m:r>
                <m:sSup>
                  <m:e>
                    <m:r>
                      <m:rPr>
                        <m:sty m:val="p"/>
                      </m:rPr>
                      <m:t>∥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sty m:val="b"/>
                      </m:rPr>
                      <m:t>1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α</m:t>
                </m:r>
                <m:r>
                  <m:t>  </m:t>
                </m:r>
                <m:r>
                  <m:rPr>
                    <m:nor/>
                    <m:sty m:val="p"/>
                  </m:rPr>
                  <m:t>s.t.</m:t>
                </m:r>
                <m:r>
                  <m:t>  </m:t>
                </m:r>
                <m:r>
                  <m:t>w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ϕ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α</m:t>
                </m:r>
                <m:r>
                  <m:rPr>
                    <m:sty m:val="p"/>
                  </m:rPr>
                  <m:t>∈</m:t>
                </m:r>
                <m:r>
                  <m:t>D</m:t>
                </m:r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800" w:type="dxa"/>
            <w:vAlign w:val="center"/>
          </w:tcPr>
          <w:p>
            <w:pPr>
              <w:pStyle w:val="Compact"/>
              <w:jc w:val="right"/>
            </w:pPr>
            <w:r>
              <w:t xml:space="preserve">(D′)</w:t>
            </w:r>
          </w:p>
        </w:tc>
      </w:tr>
    </w:tbl>
    <w:p>
      <w:pPr>
        <w:pStyle w:val="BodyText"/>
      </w:pPr>
      <w:r>
        <w:t xml:space="preserve">Substituting the constraint recovers (D) exactly, so (D′)</w:t>
      </w:r>
      <w:r>
        <w:t xml:space="preserve"> </w:t>
      </w:r>
      <w:r>
        <w:t xml:space="preserve">and (D) are the same problem. Now dualise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the linking</w:t>
      </w:r>
      <w:r>
        <w:t xml:space="preserve"> </w:t>
      </w:r>
      <w:r>
        <w:t xml:space="preserve">identity, with a free multiplier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t>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;</m:t>
              </m:r>
              <m:r>
                <m:t>λ</m:t>
              </m:r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∥</m:t>
          </m:r>
          <m:r>
            <m:t>w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rPr>
                  <m:sty m:val="b"/>
                </m:rPr>
                <m:t>1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α</m:t>
          </m:r>
          <m:r>
            <m:rPr>
              <m:sty m:val="p"/>
            </m:rPr>
            <m:t>+</m:t>
          </m:r>
          <m:d>
            <m:dPr>
              <m:begChr m:val="⟨"/>
              <m:endChr m:val="⟩"/>
              <m:sepChr m:val="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w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groups of variables separate. Minimising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t>ℋ</m:t>
        </m:r>
      </m:oMath>
      <w:r>
        <w:t xml:space="preserve"> </w:t>
      </w:r>
      <w:r>
        <w:t xml:space="preserve">is unconstrained and</w:t>
      </w:r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with value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∥</m:t>
        </m:r>
        <m:r>
          <m:t>λ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; what remains is</w:t>
      </w:r>
      <w:r>
        <w:t xml:space="preserve"> </w:t>
      </w:r>
      <w:r>
        <w:t xml:space="preserve">linear in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D</m:t>
        </m:r>
      </m:oMath>
      <w:r>
        <w:t xml:space="preserve">. Hence</w:t>
      </w:r>
    </w:p>
    <w:tbl>
      <w:tblPr>
        <w:tblStyle w:val="Table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00"/>
        <w:gridCol w:w="7472"/>
        <w:gridCol w:w="800"/>
      </w:tblGrid>
      <w:tr>
        <w:tc>
          <w:tcPr>
            <w:tcW w:w="800" w:type="dxa"/>
            <w:vAlign w:val="center"/>
          </w:tcPr>
          <w:p>
            <w:pPr>
              <w:pStyle w:val="Compact"/>
            </w:pPr>
          </w:p>
        </w:tc>
        <w:tc>
          <w:tcPr>
            <w:tcW w:w="7472" w:type="dxa"/>
            <w:vAlign w:val="center"/>
          </w:tcPr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 </m:t>
                    </m:r>
                    <m:r>
                      <m:t> </m:t>
                    </m:r>
                    <m:r>
                      <m:t>ψ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λ</m:t>
                        </m:r>
                      </m:e>
                    </m:d>
                    <m:r>
                      <m:t> 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∥</m:t>
                    </m:r>
                    <m:r>
                      <m:t>λ</m:t>
                    </m:r>
                    <m:sSup>
                      <m:e>
                        <m:r>
                          <m:rPr>
                            <m:sty m:val="p"/>
                          </m:rPr>
                          <m:t>∥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 </m:t>
                    </m:r>
                    <m:r>
                      <m:rPr>
                        <m:sty m:val="p"/>
                      </m:rPr>
                      <m:t>+</m:t>
                    </m:r>
                    <m:r>
                      <m:t> </m:t>
                    </m:r>
                    <m:limLow>
                      <m:e>
                        <m:r>
                          <m:rPr>
                            <m:sty m:val="p"/>
                          </m:rPr>
                          <m:t>min</m:t>
                        </m:r>
                      </m:e>
                      <m:lim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D</m:t>
                        </m:r>
                      </m:lim>
                    </m:limLow>
                    <m:r>
                      <m:t> </m:t>
                    </m:r>
                    <m:r>
                      <m:t>c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λ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α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  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λ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⟨</m:t>
                        </m:r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sSub>
                          <m:e>
                            <m:r>
                              <m:t>ϕ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⟩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 </m:t>
                    </m:r>
                  </m:e>
                </m:borderBox>
              </m:oMath>
            </m:oMathPara>
          </w:p>
        </w:tc>
        <w:tc>
          <w:tcPr>
            <w:tcW w:w="800" w:type="dxa"/>
            <w:vAlign w:val="center"/>
          </w:tcPr>
          <w:p>
            <w:pPr>
              <w:pStyle w:val="Compact"/>
              <w:jc w:val="right"/>
            </w:pPr>
            <w:r>
              <w:t xml:space="preserve">(3.1)</w:t>
            </w:r>
          </w:p>
        </w:tc>
      </w:tr>
    </w:tbl>
    <w:p>
      <w:pPr>
        <w:pStyle w:val="BodyText"/>
      </w:pPr>
      <w:r>
        <w:t xml:space="preserve">and the Lagrangian dual of (D′) is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λ</m:t>
            </m:r>
            <m:r>
              <m:rPr>
                <m:sty m:val="p"/>
              </m:rPr>
              <m:t>∈</m:t>
            </m:r>
            <m:r>
              <m:t>ℋ</m:t>
            </m:r>
          </m:sub>
        </m:sSub>
        <m:r>
          <m:t>ψ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t xml:space="preserve">.</w:t>
      </w:r>
    </w:p>
    <w:p>
      <w:pPr>
        <w:pStyle w:val="BodyText"/>
      </w:pPr>
      <w:r>
        <w:t xml:space="preserve">In the vocabulary of partial Lagrangian relaxation, the representer identity is the</w:t>
      </w:r>
      <w:r>
        <w:t xml:space="preserve"> </w:t>
      </w:r>
      <w:r>
        <w:rPr>
          <w:iCs/>
          <w:i/>
        </w:rPr>
        <w:t xml:space="preserve">complicating</w:t>
      </w:r>
      <w:r>
        <w:t xml:space="preserve"> </w:t>
      </w:r>
      <w:r>
        <w:t xml:space="preserve">constraint — it is what couples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so what</w:t>
      </w:r>
      <w:r>
        <w:t xml:space="preserve"> </w:t>
      </w:r>
      <w:r>
        <w:t xml:space="preserve">creates the dense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— while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iCs/>
          <w:i/>
        </w:rPr>
        <w:t xml:space="preserve">easy</w:t>
      </w:r>
      <w:r>
        <w:t xml:space="preserve"> </w:t>
      </w:r>
      <w:r>
        <w:t xml:space="preserve">constraints, kept</w:t>
      </w:r>
      <w:r>
        <w:t xml:space="preserve"> </w:t>
      </w:r>
      <w:r>
        <w:t xml:space="preserve">in the relaxed problem because they are exactly what makes it a knapsack. The usual</w:t>
      </w:r>
      <w:r>
        <w:t xml:space="preserve"> </w:t>
      </w:r>
      <w:r>
        <w:t xml:space="preserve">warning that</w:t>
      </w:r>
      <w:r>
        <w:t xml:space="preserve"> </w:t>
      </w:r>
      <m:oMath>
        <m:r>
          <m:t>ψ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t xml:space="preserve"> </w:t>
      </w:r>
      <w:r>
        <w:t xml:space="preserve">may be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λ</m:t>
        </m:r>
      </m:oMath>
      <w:r>
        <w:t xml:space="preserve">, and that one then</w:t>
      </w:r>
      <w:r>
        <w:t xml:space="preserve"> </w:t>
      </w:r>
      <w:r>
        <w:t xml:space="preserve">has to neutralise the offending directions of zero curvature, does not apply here: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compact, so the relaxed problem always has a finite optimum and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finite on all of</w:t>
      </w:r>
      <w:r>
        <w:t xml:space="preserve"> </w:t>
      </w:r>
      <m:oMath>
        <m:r>
          <m:t>ℋ</m:t>
        </m:r>
      </m:oMath>
      <w:r>
        <w:t xml:space="preserve">.</w:t>
      </w:r>
    </w:p>
    <w:bookmarkEnd w:id="28"/>
    <w:bookmarkStart w:id="29" w:name="_Toc100011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The relaxed problem is a continuous knapsack</w:t>
      </w:r>
    </w:p>
    <w:p>
      <w:pPr>
        <w:pStyle w:val="FirstParagraph"/>
      </w:pPr>
      <w:r>
        <w:t xml:space="preserve">The inner problem in (3.1) is</w:t>
      </w:r>
    </w:p>
    <w:tbl>
      <w:tblPr>
        <w:tblStyle w:val="Table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00"/>
        <w:gridCol w:w="7472"/>
        <w:gridCol w:w="800"/>
      </w:tblGrid>
      <w:tr>
        <w:tc>
          <w:tcPr>
            <w:tcW w:w="800" w:type="dxa"/>
            <w:vAlign w:val="center"/>
          </w:tcPr>
          <w:p>
            <w:pPr>
              <w:pStyle w:val="Compact"/>
            </w:pPr>
          </w:p>
        </w:tc>
        <w:tc>
          <w:tcPr>
            <w:tcW w:w="7472" w:type="dxa"/>
            <w:vAlign w:val="center"/>
          </w:tcPr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min</m:t>
                </m:r>
                <m:r>
                  <m:t> </m:t>
                </m:r>
                <m:sSup>
                  <m:e>
                    <m:r>
                      <m:t>c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α</m:t>
                </m:r>
                <m:r>
                  <m:t>  </m:t>
                </m:r>
                <m:r>
                  <m:rPr>
                    <m:nor/>
                    <m:sty m:val="p"/>
                  </m:rPr>
                  <m:t>s.t.</m:t>
                </m:r>
                <m:r>
                  <m:t>  </m:t>
                </m:r>
                <m:sSup>
                  <m:e>
                    <m:r>
                      <m:t>y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α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0</m:t>
                </m:r>
                <m:r>
                  <m:rPr>
                    <m:sty m:val="p"/>
                  </m:rPr>
                  <m:t>≤</m:t>
                </m:r>
                <m:r>
                  <m:t>α</m:t>
                </m:r>
                <m:r>
                  <m:rPr>
                    <m:sty m:val="p"/>
                  </m:rPr>
                  <m:t>≤</m:t>
                </m:r>
                <m:r>
                  <m:t>C</m:t>
                </m:r>
                <m:r>
                  <m:rPr>
                    <m:sty m:val="b"/>
                  </m:rPr>
                  <m:t>1</m:t>
                </m:r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w="800" w:type="dxa"/>
            <w:vAlign w:val="center"/>
          </w:tcPr>
          <w:p>
            <w:pPr>
              <w:pStyle w:val="Compact"/>
              <w:jc w:val="right"/>
            </w:pPr>
            <w:r>
              <w:t xml:space="preserve">(KP)</w:t>
            </w:r>
          </w:p>
        </w:tc>
      </w:tr>
    </w:tbl>
    <w:p>
      <w:pPr>
        <w:pStyle w:val="BodyText"/>
      </w:pPr>
      <w:r>
        <w:t xml:space="preserve">a linear program over a box with a</w:t>
      </w:r>
      <w:r>
        <w:t xml:space="preserve"> </w:t>
      </w:r>
      <w:r>
        <w:rPr>
          <w:iCs/>
          <w:i/>
        </w:rPr>
        <w:t xml:space="preserve">single</w:t>
      </w:r>
      <w:r>
        <w:t xml:space="preserve"> </w:t>
      </w:r>
      <w:r>
        <w:t xml:space="preserve">equality constraint: the classical</w:t>
      </w:r>
      <w:r>
        <w:t xml:space="preserve"> </w:t>
      </w:r>
      <w:r>
        <w:rPr>
          <w:iCs/>
          <w:i/>
        </w:rPr>
        <w:t xml:space="preserve">continuous knapsack</w:t>
      </w:r>
      <w:r>
        <w:t xml:space="preserve"> </w:t>
      </w:r>
      <w:r>
        <w:t xml:space="preserve">problem. Relaxing that one equality with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makes the box minimiser explicit,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θ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θ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any value in 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θ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≔</m:t>
        </m:r>
        <m:sSup>
          <m:e>
            <m:r>
              <m:t>y</m:t>
            </m:r>
          </m:e>
          <m:sup>
            <m:r>
              <m:rPr>
                <m:sty m:val="p"/>
              </m:rPr>
              <m:t>⊤</m:t>
            </m:r>
          </m:sup>
        </m:sSup>
        <m:r>
          <m:t>α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is non-decreasing, so a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⋆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exists and is found by sorting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breakpoints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r>
        <w:t xml:space="preserve">scanning (or by median search in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t xml:space="preserve"> </w:t>
      </w:r>
      <w:r>
        <w:t xml:space="preserve">expected time). Splitting the tied components</w:t>
      </w:r>
      <w:r>
        <w:t xml:space="preserve"> </w:t>
      </w:r>
      <w:r>
        <w:t xml:space="preserve">to make the equality hold exactly produces an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that minimises the Lagrangian</w:t>
      </w:r>
      <w:r>
        <w:t xml:space="preserve"> </w:t>
      </w:r>
      <w:r>
        <w:t xml:space="preserve">of (KP)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is feasible, hence optimal. Forming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costs one kernel</w:t>
      </w:r>
      <w:r>
        <w:t xml:space="preserve"> </w:t>
      </w:r>
      <w:r>
        <w:t xml:space="preserve">product; the rest costs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log</m:t>
            </m:r>
            <m:r>
              <m:t>m</m:t>
            </m:r>
          </m:e>
        </m:d>
      </m:oMath>
      <w:r>
        <w:t xml:space="preserve">. This settles (R1): a dense QP has been replaced</w:t>
      </w:r>
      <w:r>
        <w:t xml:space="preserve"> </w:t>
      </w:r>
      <w:r>
        <w:t xml:space="preserve">by a sort.</w:t>
      </w:r>
    </w:p>
    <w:p>
      <w:pPr>
        <w:pStyle w:val="BodyText"/>
      </w:pPr>
      <w:r>
        <w:t xml:space="preserve">The same structure — relax a single equality, obtain a separable problem whose</w:t>
      </w:r>
      <w:r>
        <w:t xml:space="preserve"> </w:t>
      </w:r>
      <w:r>
        <w:t xml:space="preserve">solution is piecewise linear in the multiplier with one breakpoint per variable —</w:t>
      </w:r>
      <w:r>
        <w:t xml:space="preserve"> </w:t>
      </w:r>
      <w:r>
        <w:t xml:space="preserve">appears as a worked exercise in the course material for the projection onto a</w:t>
      </w:r>
      <w:r>
        <w:t xml:space="preserve"> </w:t>
      </w:r>
      <w:r>
        <w:t xml:space="preserve">hyperplane, and (KP) is its bounded-variable analogue.</w:t>
      </w:r>
    </w:p>
    <w:bookmarkEnd w:id="29"/>
    <w:bookmarkStart w:id="30" w:name="_Toc100012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Properties of the dual function</w:t>
      </w:r>
    </w:p>
    <w:p>
      <w:pPr>
        <w:pStyle w:val="FirstParagraph"/>
      </w:pPr>
      <w:r>
        <w:rPr>
          <w:bCs/>
          <w:b/>
        </w:rPr>
        <w:t xml:space="preserve">Proposition 3.1 (finiteness).</w:t>
      </w:r>
      <w:r>
        <w:t xml:space="preserve"> </w:t>
      </w:r>
      <m:oMath>
        <m:r>
          <m:t>D</m:t>
        </m:r>
      </m:oMath>
      <w:r>
        <w:t xml:space="preserve"> </w:t>
      </w:r>
      <w:r>
        <w:t xml:space="preserve">is a non-empty compact polytope, so the minimum in (3.1) is attained and</w:t>
      </w:r>
      <w:r>
        <w:t xml:space="preserve"> </w:t>
      </w:r>
      <w:r>
        <w:t xml:space="preserve">finite for every</w:t>
      </w:r>
      <w:r>
        <w:t xml:space="preserve"> </w:t>
      </w:r>
      <m:oMath>
        <m:r>
          <m:t>λ</m:t>
        </m:r>
      </m:oMath>
      <w:r>
        <w:t xml:space="preserve">. Hence</w:t>
      </w:r>
      <w:r>
        <w:t xml:space="preserve"> </w:t>
      </w:r>
      <m:oMath>
        <m:r>
          <m:t>ψ</m:t>
        </m:r>
        <m:r>
          <m:rPr>
            <m:sty m:val="p"/>
          </m:rPr>
          <m:t>:</m:t>
        </m:r>
        <m:r>
          <m:t>ℋ</m:t>
        </m:r>
        <m:r>
          <m:rPr>
            <m:sty m:val="p"/>
          </m:rPr>
          <m:t>→</m:t>
        </m:r>
        <m:r>
          <m:t>ℝ</m:t>
        </m:r>
      </m:oMath>
      <w:r>
        <w:t xml:space="preserve"> </w:t>
      </w:r>
      <w:r>
        <w:t xml:space="preserve">is finite everywhere, concave and</w:t>
      </w:r>
      <w:r>
        <w:t xml:space="preserve"> </w:t>
      </w:r>
      <w:r>
        <w:t xml:space="preserve">upper semicontinuous.</w:t>
      </w:r>
    </w:p>
    <w:p>
      <w:pPr>
        <w:pStyle w:val="BodyText"/>
      </w:pPr>
      <w:r>
        <w:t xml:space="preserve">This is unusually convenient: no feasibility (</w:t>
      </w:r>
      <w:r>
        <w:t xml:space="preserve">“</w:t>
      </w:r>
      <w:r>
        <w:t xml:space="preserve">infinite</w:t>
      </w:r>
      <w:r>
        <w:t xml:space="preserve">”</w:t>
      </w:r>
      <w:r>
        <w:t xml:space="preserve">) cuts are ever needed, and</w:t>
      </w:r>
      <w:r>
        <w:t xml:space="preserve"> </w:t>
      </w:r>
      <w:r>
        <w:t xml:space="preserve">every oracle call returns a valid lower bound on the optimal value.</w:t>
      </w:r>
    </w:p>
    <w:p>
      <w:pPr>
        <w:pStyle w:val="BodyText"/>
      </w:pPr>
      <w:r>
        <w:rPr>
          <w:bCs/>
          <w:b/>
        </w:rPr>
        <w:t xml:space="preserve">Proposition 3.2 (structure and non-differentiability).</w:t>
      </w:r>
      <w:r>
        <w:t xml:space="preserve"> Write</w:t>
      </w:r>
    </w:p>
    <w:p>
      <w:pPr>
        <w:pStyle w:val="BodyText"/>
      </w:pPr>
      <m:oMathPara>
        <m:oMathParaPr>
          <m:jc m:val="center"/>
        </m:oMathParaPr>
        <m:oMath>
          <m:r>
            <m:t>ψ</m:t>
          </m:r>
          <m:r>
            <m:rPr>
              <m:sty m:val="p"/>
            </m:rPr>
            <m:t>=</m:t>
          </m:r>
          <m:sSub>
            <m:e>
              <m:r>
                <m:t>ψ</m:t>
              </m:r>
            </m:e>
            <m:sub>
              <m:r>
                <m:rPr>
                  <m:nor/>
                  <m:sty m:val="p"/>
                </m:rPr>
                <m:t>sm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rPr>
                  <m:nor/>
                  <m:sty m:val="p"/>
                </m:rPr>
                <m:t>pl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ψ</m:t>
              </m:r>
            </m:e>
            <m:sub>
              <m:r>
                <m:rPr>
                  <m:nor/>
                  <m:sty m:val="p"/>
                </m:rPr>
                <m:t>sm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∥</m:t>
          </m:r>
          <m:r>
            <m:t>λ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ψ</m:t>
              </m:r>
            </m:e>
            <m:sub>
              <m:r>
                <m:rPr>
                  <m:nor/>
                  <m:sty m:val="p"/>
                </m:rPr>
                <m:t>pl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α</m:t>
              </m:r>
              <m:r>
                <m:rPr>
                  <m:sty m:val="p"/>
                </m:rPr>
                <m:t>∈</m:t>
              </m:r>
              <m:r>
                <m:t>D</m:t>
              </m:r>
            </m:lim>
          </m:limLow>
          <m:r>
            <m:t>c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t>α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nor/>
                <m:sty m:val="p"/>
              </m:rPr>
              <m:t>sm</m:t>
            </m:r>
          </m:sub>
        </m:sSub>
      </m:oMath>
      <w:r>
        <w:t xml:space="preserve"> </w:t>
      </w:r>
      <w:r>
        <w:t xml:space="preserve">is smooth and known in closed form, and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nor/>
                <m:sty m:val="p"/>
              </m:rPr>
              <m:t>pl</m:t>
            </m:r>
          </m:sub>
        </m:sSub>
      </m:oMath>
      <w:r>
        <w:t xml:space="preserve"> </w:t>
      </w:r>
      <w:r>
        <w:t xml:space="preserve">is a minimum of finitely many affine functions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(one</w:t>
      </w:r>
      <w:r>
        <w:t xml:space="preserve"> </w:t>
      </w:r>
      <w:r>
        <w:t xml:space="preserve">per vertex of</w:t>
      </w:r>
      <w:r>
        <w:t xml:space="preserve"> </w:t>
      </w:r>
      <m:oMath>
        <m:r>
          <m:t>D</m:t>
        </m:r>
      </m:oMath>
      <w:r>
        <w:t xml:space="preserve">), hence concave polyhedral.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fails to be differentiable exactly where</w:t>
      </w:r>
      <w:r>
        <w:t xml:space="preserve"> </w:t>
      </w:r>
      <w:r>
        <w:t xml:space="preserve">(KP) has multiple optima, i.e. where some reduced cost vanishes,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p>
          <m:e>
            <m:r>
              <m:t>θ</m:t>
            </m:r>
          </m:e>
          <m:sup>
            <m:r>
              <m:rPr>
                <m:sty m:val="p"/>
              </m:rPr>
              <m:t>⋆</m:t>
            </m:r>
          </m:sup>
        </m:sSu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Unwinding that condition 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⟨</m:t>
        </m:r>
        <m:r>
          <m:t>w</m:t>
        </m:r>
        <m:r>
          <m:rPr>
            <m:sty m:val="p"/>
          </m:rPr>
          <m:t>,</m:t>
        </m:r>
        <m:r>
          <m:t> </m:t>
        </m:r>
        <m:sSub>
          <m:e>
            <m:r>
              <m:t>ϕ</m:t>
            </m:r>
          </m:e>
          <m:sub>
            <m:r>
              <m:t>i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rPr>
                <m:sty m:val="p"/>
              </m:rPr>
              <m:t>⋆</m:t>
            </m:r>
          </m:sup>
        </m:sSu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 the kinks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sit</w:t>
      </w:r>
      <w:r>
        <w:t xml:space="preserve"> </w:t>
      </w:r>
      <w:r>
        <w:rPr>
          <w:iCs/>
          <w:i/>
        </w:rPr>
        <w:t xml:space="preserve">exactly</w:t>
      </w:r>
      <w:r>
        <w:t xml:space="preserve"> </w:t>
      </w:r>
      <w:r>
        <w:t xml:space="preserve">on</w:t>
      </w:r>
      <w:r>
        <w:t xml:space="preserve"> </w:t>
      </w:r>
      <w:r>
        <w:t xml:space="preserve">the support-vector condition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 (2.3). Since any</w:t>
      </w:r>
      <w:r>
        <w:t xml:space="preserve"> </w:t>
      </w:r>
      <w:r>
        <w:t xml:space="preserve">non-degenerate SVM has free support vectors, the maximiser of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point of non-differentiability. This settles (R3): the non-smoothness is not</w:t>
      </w:r>
      <w:r>
        <w:t xml:space="preserve"> </w:t>
      </w:r>
      <w:r>
        <w:t xml:space="preserve">incidental, it is the solution.</w:t>
      </w:r>
    </w:p>
    <w:p>
      <w:pPr>
        <w:pStyle w:val="BodyText"/>
      </w:pPr>
      <w:r>
        <w:rPr>
          <w:bCs/>
          <w:b/>
        </w:rPr>
        <w:t xml:space="preserve">Proposition 3.3 (no duality gap).</w:t>
      </w:r>
      <w:r>
        <w:t xml:space="preserve"> (D′) is convex, its coupling constraint is affine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compact;</w:t>
      </w:r>
      <w:r>
        <w:t xml:space="preserve"> </w:t>
      </w:r>
      <w:r>
        <w:t xml:space="preserve">therefore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λ</m:t>
            </m:r>
          </m:sub>
        </m:sSub>
        <m:r>
          <m:t>ψ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r>
          <m:t>v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t>v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D</m:t>
            </m:r>
          </m:e>
        </m:d>
      </m:oMath>
      <w:r>
        <w:t xml:space="preserve">, and the maximiser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w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 multiplier of the relaxed identity is thus, up to sign, the primal weight vector</w:t>
      </w:r>
      <w:r>
        <w:t xml:space="preserve"> </w:t>
      </w:r>
      <w:r>
        <w:t xml:space="preserve">itself. A supergradient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violation of the relaxed</w:t>
      </w:r>
      <w:r>
        <w:t xml:space="preserve"> </w:t>
      </w:r>
      <w:r>
        <w:t xml:space="preserve">constraint,</w:t>
      </w:r>
    </w:p>
    <w:tbl>
      <w:tblPr>
        <w:tblStyle w:val="Table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00"/>
        <w:gridCol w:w="7472"/>
        <w:gridCol w:w="800"/>
      </w:tblGrid>
      <w:tr>
        <w:tc>
          <w:tcPr>
            <w:tcW w:w="800" w:type="dxa"/>
            <w:vAlign w:val="center"/>
          </w:tcPr>
          <w:p>
            <w:pPr>
              <w:pStyle w:val="Compact"/>
            </w:pPr>
          </w:p>
        </w:tc>
        <w:tc>
          <w:tcPr>
            <w:tcW w:w="7472" w:type="dxa"/>
            <w:vAlign w:val="center"/>
          </w:tcPr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λ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w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λ</m:t>
                    </m:r>
                  </m:e>
                </m:d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λ</m:t>
                    </m:r>
                  </m:e>
                </m:d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ϕ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λ</m:t>
                    </m:r>
                  </m:e>
                </m:d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ϕ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w="800" w:type="dxa"/>
            <w:vAlign w:val="center"/>
          </w:tcPr>
          <w:p>
            <w:pPr>
              <w:pStyle w:val="Compact"/>
              <w:jc w:val="right"/>
            </w:pPr>
            <w:r>
              <w:t xml:space="preserve">(3.2)</w:t>
            </w:r>
          </w:p>
        </w:tc>
      </w:tr>
    </w:tbl>
    <w:p>
      <w:pPr>
        <w:pStyle w:val="BodyText"/>
      </w:pPr>
      <w:r>
        <w:t xml:space="preserve">available at no extra cost from the oracle. (R2) holds as well: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t>ℋ</m:t>
        </m:r>
      </m:oMath>
      <w:r>
        <w:t xml:space="preserve">, of dimension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the linear kernel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after the reduction of</w:t>
      </w:r>
      <w:r>
        <w:t xml:space="preserve"> </w:t>
      </w:r>
      <w:r>
        <w:t xml:space="preserve">Section 4.3 in general.</w:t>
      </w:r>
    </w:p>
    <w:bookmarkEnd w:id="30"/>
    <w:bookmarkStart w:id="31" w:name="_Toc100013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What this dual actually is</w:t>
      </w:r>
    </w:p>
    <w:p>
      <w:pPr>
        <w:pStyle w:val="FirstParagraph"/>
      </w:pPr>
      <w:r>
        <w:t xml:space="preserve">It is worth identifying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λ</m:t>
            </m:r>
          </m:sub>
        </m:sSub>
        <m:r>
          <m:t>ψ</m:t>
        </m:r>
      </m:oMath>
      <w:r>
        <w:t xml:space="preserve"> </w:t>
      </w:r>
      <w:r>
        <w:t xml:space="preserve">in closed form. Substituting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in (3.1),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λ</m:t>
              </m:r>
            </m:lim>
          </m:limLow>
          <m:r>
            <m:t>ψ</m:t>
          </m:r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⇔</m:t>
          </m:r>
          <m:r>
            <m:rPr>
              <m:sty m:val="p"/>
            </m:rPr>
            <m:t>−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w</m:t>
              </m:r>
            </m:lim>
          </m:limLow>
          <m:d>
            <m:dPr>
              <m:begChr m:val="{"/>
              <m:endChr m:val="}"/>
              <m:sepChr m:val="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∥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α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⟨</m:t>
                  </m:r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⟩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dualising the single equality inside the inner maximisation with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gives, by LP duality,</w:t>
      </w:r>
    </w:p>
    <w:tbl>
      <w:tblPr>
        <w:tblStyle w:val="Table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00"/>
        <w:gridCol w:w="7472"/>
        <w:gridCol w:w="800"/>
      </w:tblGrid>
      <w:tr>
        <w:tc>
          <w:tcPr>
            <w:tcW w:w="800" w:type="dxa"/>
            <w:vAlign w:val="center"/>
          </w:tcPr>
          <w:p>
            <w:pPr>
              <w:pStyle w:val="Compact"/>
            </w:pPr>
          </w:p>
        </w:tc>
        <w:tc>
          <w:tcPr>
            <w:tcW w:w="7472" w:type="dxa"/>
            <w:vAlign w:val="center"/>
          </w:tcPr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α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D</m:t>
                    </m:r>
                  </m:lim>
                </m:limLow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g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min</m:t>
                    </m:r>
                  </m:e>
                  <m:lim>
                    <m:r>
                      <m:t>θ</m:t>
                    </m:r>
                  </m:lim>
                </m:limLow>
                <m:r>
                  <m:t> </m:t>
                </m:r>
                <m:r>
                  <m:t>C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p>
                      <m:e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g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θ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m:rPr>
                            <m:nor/>
                            <m:sty m:val="p"/>
                          </m:rPr>
                          <m:t>+</m:t>
                        </m:r>
                      </m:sup>
                    </m:sSup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g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≔</m:t>
                </m:r>
                <m:r>
                  <m:rPr>
                    <m:sty m:val="p"/>
                  </m:rPr>
                  <m:t>⟨</m:t>
                </m:r>
                <m:r>
                  <m:t>w</m:t>
                </m:r>
                <m:r>
                  <m:rPr>
                    <m:sty m:val="p"/>
                  </m:rPr>
                  <m:t>,</m:t>
                </m:r>
                <m:r>
                  <m:t> </m:t>
                </m:r>
                <m:sSub>
                  <m:e>
                    <m:r>
                      <m:t>ϕ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⟩</m:t>
                </m:r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800" w:type="dxa"/>
            <w:vAlign w:val="center"/>
          </w:tcPr>
          <w:p>
            <w:pPr>
              <w:pStyle w:val="Compact"/>
              <w:jc w:val="right"/>
            </w:pPr>
            <w:r>
              <w:t xml:space="preserve">(3.3)</w:t>
            </w:r>
          </w:p>
        </w:tc>
      </w:tr>
    </w:tbl>
    <w:p>
      <w:pPr>
        <w:pStyle w:val="BodyText"/>
      </w:pPr>
      <w:r>
        <w:t xml:space="preserve">So the Lagrangian dual of (D′) is the hinge-loss</w:t>
      </w:r>
      <w:r>
        <w:t xml:space="preserve"> </w:t>
      </w:r>
      <w:r>
        <w:t xml:space="preserve">primal (2.1), and</w:t>
      </w:r>
      <w:r>
        <w:t xml:space="preserve"> </w:t>
      </w:r>
      <w:r>
        <w:rPr>
          <w:iCs/>
          <w:i/>
        </w:rPr>
        <w:t xml:space="preserve">the multiplier</w:t>
      </w:r>
      <w:r>
        <w:rPr>
          <w:iCs/>
          <w:i/>
        </w:rPr>
        <w:t xml:space="preserve"> </w:t>
      </w:r>
      <m:oMath>
        <m:r>
          <m:t>θ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of the knapsack equality</w:t>
      </w:r>
      <w:r>
        <w:rPr>
          <w:iCs/>
          <w:i/>
        </w:rPr>
        <w:t xml:space="preserve"> </w:t>
      </w:r>
      <w:r>
        <w:rPr>
          <w:iCs/>
          <w:i/>
        </w:rPr>
        <w:t xml:space="preserve">is the SVM bias</w:t>
      </w:r>
      <w:r>
        <w:rPr>
          <w:iCs/>
          <w:i/>
        </w:rPr>
        <w:t xml:space="preserve"> </w:t>
      </w:r>
      <m:oMath>
        <m:r>
          <m:t>b</m:t>
        </m:r>
      </m:oMath>
      <w:r>
        <w:t xml:space="preserve"> </w:t>
      </w:r>
      <w:r>
        <w:t xml:space="preserve">—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falls out of the oracle for free. That the dual of</w:t>
      </w:r>
      <w:r>
        <w:t xml:space="preserve"> </w:t>
      </w:r>
      <w:r>
        <w:t xml:space="preserve">the dual is the primal is of course biconjugacy; the next section says what is</w:t>
      </w:r>
      <w:r>
        <w:t xml:space="preserve"> </w:t>
      </w:r>
      <w:r>
        <w:t xml:space="preserve">nevertheless gained.</w:t>
      </w:r>
    </w:p>
    <w:bookmarkEnd w:id="31"/>
    <w:bookmarkStart w:id="32" w:name="_Toc100014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Relation to the direct nonsmooth formulation</w:t>
      </w:r>
    </w:p>
    <w:p>
      <w:pPr>
        <w:pStyle w:val="FirstParagraph"/>
      </w:pPr>
      <w:r>
        <w:t xml:space="preserve">The SVM appears in the course material on nondifferentiable unconstrained</w:t>
      </w:r>
      <w:r>
        <w:t xml:space="preserve"> </w:t>
      </w:r>
      <w:r>
        <w:t xml:space="preserve">optimization as the motivating example, in the form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w</m:t>
              </m:r>
              <m:r>
                <m:rPr>
                  <m:sty m:val="p"/>
                </m:rPr>
                <m:t>,</m:t>
              </m:r>
              <m:r>
                <m:t>b</m:t>
              </m:r>
            </m:lim>
          </m:limLow>
          <m:r>
            <m:t> </m:t>
          </m:r>
          <m:r>
            <m:t> </m:t>
          </m:r>
          <m:r>
            <m:rPr>
              <m:sty m:val="p"/>
            </m:rPr>
            <m:t>∥</m:t>
          </m:r>
          <m:r>
            <m:t>w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max</m:t>
              </m:r>
            </m:e>
          </m:nary>
          <m:d>
            <m:dPr>
              <m:begChr m:val="{"/>
              <m:endChr m:val="}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⟨</m:t>
                  </m:r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⟩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whose nondifferentiability is precisely what motivates bundle methods. Since</w:t>
      </w:r>
      <w:r>
        <w:t xml:space="preserve"> </w:t>
      </w:r>
      <w:r>
        <w:t xml:space="preserve">Section 3.5 shows that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λ</m:t>
            </m:r>
          </m:sub>
        </m:sSub>
        <m:r>
          <m:t>ψ</m:t>
        </m:r>
      </m:oMath>
      <w:r>
        <w:t xml:space="preserve"> </w:t>
      </w:r>
      <w:r>
        <w:t xml:space="preserve">is that same function, we</w:t>
      </w:r>
      <w:r>
        <w:t xml:space="preserve"> </w:t>
      </w:r>
      <w:r>
        <w:t xml:space="preserve">must say clearly what dualising the representer identity adds over simply running a</w:t>
      </w:r>
      <w:r>
        <w:t xml:space="preserve"> </w:t>
      </w:r>
      <w:r>
        <w:t xml:space="preserve">bundle method on it — which is also what the published cutting-plane methods for</w:t>
      </w:r>
      <w:r>
        <w:t xml:space="preserve"> </w:t>
      </w:r>
      <w:r>
        <w:t xml:space="preserve">regularised risk minimisation do (Joachims 2006; Teo et al. 2010; Franc &amp;</w:t>
      </w:r>
      <w:r>
        <w:t xml:space="preserve"> </w:t>
      </w:r>
      <w:r>
        <w:t xml:space="preserve">Sonnenburg 2008).</w:t>
      </w:r>
    </w:p>
    <w:p>
      <w:pPr>
        <w:pStyle w:val="BodyText"/>
      </w:pPr>
      <w:r>
        <w:t xml:space="preserve">The answer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that the bias makes a direct approach impossible: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is convex in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jointly and a subgradient in both variables is immediate, so one</w:t>
      </w:r>
      <w:r>
        <w:t xml:space="preserve"> </w:t>
      </w:r>
      <w:r>
        <w:t xml:space="preserve">can perfectly well put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the bundle. The answer is that our relaxation minimises</w:t>
      </w:r>
      <w:r>
        <w:t xml:space="preserve"> </w:t>
      </w:r>
      <w:r>
        <w:t xml:space="preserve">over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iCs/>
          <w:i/>
        </w:rPr>
        <w:t xml:space="preserve">exactly</w:t>
      </w:r>
      <w:r>
        <w:t xml:space="preserve">, at every oracle call, instead of approximating the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direction with cutting planes. The knapsack multiplier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 (3.3)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that exact partial minimisation, and the sort of</w:t>
      </w:r>
      <w:r>
        <w:t xml:space="preserve"> </w:t>
      </w:r>
      <w:r>
        <w:t xml:space="preserve">Section 3.3 is how it is computed. Equivalently: we bundle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b</m:t>
            </m:r>
          </m:sub>
        </m:sSub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rather than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better-conditioned object</w:t>
      </w:r>
      <w:r>
        <w:t xml:space="preserve"> </w:t>
      </w:r>
      <w:r>
        <w:t xml:space="preserve">because one of its directions has been eliminated in closed form. The measured effect</w:t>
      </w:r>
      <w:r>
        <w:t xml:space="preserve"> </w:t>
      </w:r>
      <w:r>
        <w:t xml:space="preserve">is reported in Section 7.2.</w:t>
      </w:r>
    </w:p>
    <w:p>
      <w:pPr>
        <w:pStyle w:val="BodyText"/>
      </w:pPr>
      <w:r>
        <w:t xml:space="preserve">We claim exactly this much: the family of cuts and the function being optimised are</w:t>
      </w:r>
      <w:r>
        <w:t xml:space="preserve"> </w:t>
      </w:r>
      <w:r>
        <w:t xml:space="preserve">the same as in the direct approach, and what relaxing the representer identity adds</w:t>
      </w:r>
      <w:r>
        <w:t xml:space="preserve"> </w:t>
      </w:r>
      <w:r>
        <w:t xml:space="preserve">is (i) the exact elimination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at every oracle call, (ii) the SVM dual variables</w:t>
      </w:r>
      <w:r>
        <w:t xml:space="preserve"> </w:t>
      </w:r>
      <w:r>
        <w:t xml:space="preserve">through the aggregated solution of Section 4.2, and (iii) a two-sided bound</w:t>
      </w:r>
      <w:r>
        <w:t xml:space="preserve"> </w:t>
      </w:r>
      <w:r>
        <w:t xml:space="preserve">on</w:t>
      </w:r>
      <w: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D</m:t>
            </m:r>
          </m:e>
        </m:d>
      </m:oMath>
      <w:r>
        <w:t xml:space="preserve"> </w:t>
      </w:r>
      <w:r>
        <w:t xml:space="preserve">rather than a bound on one’s own objective only.</w:t>
      </w:r>
    </w:p>
    <w:bookmarkEnd w:id="32"/>
    <w:bookmarkEnd w:id="33"/>
    <w:bookmarkStart w:id="38" w:name="_Toc100015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The Bundle Method</w:t>
      </w:r>
    </w:p>
    <w:bookmarkStart w:id="34" w:name="_Toc100016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Model and master problem</w:t>
      </w:r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∥</m:t>
        </m:r>
        <m:r>
          <m:t>λ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known in closed form, we linearise only the</w:t>
      </w:r>
      <w:r>
        <w:t xml:space="preserve"> </w:t>
      </w:r>
      <w:r>
        <w:t xml:space="preserve">polyhedral part — a</w:t>
      </w:r>
      <w:r>
        <w:t xml:space="preserve"> </w:t>
      </w:r>
      <w:r>
        <w:rPr>
          <w:iCs/>
          <w:i/>
        </w:rPr>
        <w:t xml:space="preserve">generalized</w:t>
      </w:r>
      <w:r>
        <w:t xml:space="preserve"> </w:t>
      </w:r>
      <w:r>
        <w:t xml:space="preserve">(structured) bundle method. Each oracle call</w:t>
      </w:r>
      <w:r>
        <w:t xml:space="preserve"> </w:t>
      </w:r>
      <w:r>
        <w:t xml:space="preserve">returns some</w:t>
      </w:r>
      <w:r>
        <w:t xml:space="preserve"> </w:t>
      </w:r>
      <m:oMath>
        <m:sSup>
          <m:e>
            <m:r>
              <m:t>α</m:t>
            </m:r>
          </m:e>
          <m:sup>
            <m:r>
              <m:t>j</m:t>
            </m:r>
          </m:sup>
        </m:sSup>
        <m:r>
          <m:rPr>
            <m:sty m:val="p"/>
          </m:rPr>
          <m:t>∈</m:t>
        </m:r>
        <m:r>
          <m:t>D</m:t>
        </m:r>
      </m:oMath>
      <w:r>
        <w:t xml:space="preserve">, which gives the affine upper model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rPr>
                  <m:nor/>
                  <m:sty m:val="p"/>
                </m:rPr>
                <m:t>pl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</m:e>
          </m:d>
          <m:r>
            <m:t> </m:t>
          </m:r>
          <m:r>
            <m:rPr>
              <m:sty m:val="p"/>
            </m:rPr>
            <m:t>≤</m:t>
          </m:r>
          <m:r>
            <m:t> </m:t>
          </m:r>
          <m:r>
            <m:t>c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α</m:t>
              </m:r>
            </m:e>
            <m:sup>
              <m:r>
                <m:t>j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 </m:t>
          </m:r>
          <m:sSup>
            <m:e>
              <m:r>
                <m:rPr>
                  <m:sty m:val="b"/>
                </m:rPr>
                <m:t>1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α</m:t>
              </m:r>
            </m:e>
            <m:sup>
              <m:r>
                <m:t>j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⟨</m:t>
          </m:r>
          <m:r>
            <m:t>λ</m:t>
          </m:r>
          <m:r>
            <m:rPr>
              <m:sty m:val="p"/>
            </m:rPr>
            <m:t>,</m:t>
          </m:r>
          <m:r>
            <m:t> 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Sup>
                <m:e>
                  <m:r>
                    <m:t>α</m:t>
                  </m:r>
                </m:e>
                <m:sub>
                  <m:r>
                    <m:t>i</m:t>
                  </m:r>
                </m:sub>
                <m:sup>
                  <m:r>
                    <m:t>j</m:t>
                  </m:r>
                </m:sup>
              </m:sSubSup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sSub>
            <m:e>
              <m:r>
                <m:t>ϕ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: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⟨</m:t>
          </m:r>
          <m:r>
            <m:t>λ</m:t>
          </m:r>
          <m:r>
            <m:rPr>
              <m:sty m:val="p"/>
            </m:rPr>
            <m:t>,</m:t>
          </m:r>
          <m:r>
            <m:t> 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a stability centre</w:t>
      </w:r>
      <w:r>
        <w:t xml:space="preserve"> </w:t>
      </w:r>
      <m:oMath>
        <m:acc>
          <m:accPr>
            <m:chr m:val="‾"/>
          </m:accPr>
          <m:e>
            <m:r>
              <m:t>λ</m:t>
            </m:r>
          </m:e>
        </m:acc>
      </m:oMath>
      <w:r>
        <w:t xml:space="preserve"> </w:t>
      </w:r>
      <w:r>
        <w:t xml:space="preserve">and proximal parameter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master is</w:t>
      </w:r>
    </w:p>
    <w:tbl>
      <w:tblPr>
        <w:tblStyle w:val="Table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00"/>
        <w:gridCol w:w="7472"/>
        <w:gridCol w:w="800"/>
      </w:tblGrid>
      <w:tr>
        <w:tc>
          <w:tcPr>
            <w:tcW w:w="800" w:type="dxa"/>
            <w:vAlign w:val="center"/>
          </w:tcPr>
          <w:p>
            <w:pPr>
              <w:pStyle w:val="Compact"/>
            </w:pPr>
          </w:p>
        </w:tc>
        <w:tc>
          <w:tcPr>
            <w:tcW w:w="7472" w:type="dxa"/>
            <w:vAlign w:val="center"/>
          </w:tcPr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λ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ℋ</m:t>
                    </m:r>
                  </m:lim>
                </m:limLow>
                <m:r>
                  <m:t> </m:t>
                </m:r>
                <m:r>
                  <m:t> 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∥</m:t>
                </m:r>
                <m:r>
                  <m:t>λ</m:t>
                </m:r>
                <m:sSup>
                  <m:e>
                    <m:r>
                      <m:rPr>
                        <m:sty m:val="p"/>
                      </m:rPr>
                      <m:t>∥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limLow>
                  <m:e>
                    <m:r>
                      <m:rPr>
                        <m:sty m:val="p"/>
                      </m:rPr>
                      <m:t>min</m:t>
                    </m:r>
                  </m:e>
                  <m:lim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</m:lim>
                </m:limLow>
                <m:d>
                  <m:dPr>
                    <m:begChr m:val="{"/>
                    <m:endChr m:val="}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⟨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⟩</m:t>
                    </m:r>
                  </m:e>
                </m:d>
                <m:r>
                  <m:rPr>
                    <m:sty m:val="p"/>
                  </m:rPr>
                  <m:t>−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t>t</m:t>
                    </m:r>
                  </m:den>
                </m:f>
                <m:r>
                  <m:rPr>
                    <m:sty m:val="p"/>
                  </m:rPr>
                  <m:t>∥</m:t>
                </m:r>
                <m:r>
                  <m:t>λ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λ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∥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800" w:type="dxa"/>
            <w:vAlign w:val="center"/>
          </w:tcPr>
          <w:p>
            <w:pPr>
              <w:pStyle w:val="Compact"/>
              <w:jc w:val="right"/>
            </w:pPr>
            <w:r>
              <w:t xml:space="preserve">(4.1)</w:t>
            </w:r>
          </w:p>
        </w:tc>
      </w:tr>
    </w:tbl>
    <w:p>
      <w:pPr>
        <w:pStyle w:val="BodyText"/>
      </w:pPr>
      <w:r>
        <w:t xml:space="preserve">Exchanging</w:t>
      </w:r>
      <w:r>
        <w:t xml:space="preserve"> </w:t>
      </w:r>
      <m:oMath>
        <m:r>
          <m:rPr>
            <m:sty m:val="p"/>
          </m:rPr>
          <m:t>min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max</m:t>
        </m:r>
      </m:oMath>
      <w:r>
        <w:t xml:space="preserve"> </w:t>
      </w:r>
      <w:r>
        <w:t xml:space="preserve">and eliminating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 its dual, a QP over the</w:t>
      </w:r>
      <w:r>
        <w:t xml:space="preserve"> </w:t>
      </w:r>
      <w:r>
        <w:t xml:space="preserve">unit simplex</w:t>
      </w:r>
      <w:r>
        <w:t xml:space="preserve"> </w:t>
      </w:r>
      <m:oMath>
        <m:sSup>
          <m:e>
            <m:r>
              <m:t>Δ</m:t>
            </m:r>
          </m:e>
          <m:sup>
            <m:r>
              <m:t>J</m:t>
            </m:r>
          </m:sup>
        </m:sSup>
      </m:oMath>
      <w:r>
        <w:t xml:space="preserve">:</w:t>
      </w:r>
    </w:p>
    <w:tbl>
      <w:tblPr>
        <w:tblStyle w:val="Table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00"/>
        <w:gridCol w:w="7472"/>
        <w:gridCol w:w="800"/>
      </w:tblGrid>
      <w:tr>
        <w:tc>
          <w:tcPr>
            <w:tcW w:w="800" w:type="dxa"/>
            <w:vAlign w:val="center"/>
          </w:tcPr>
          <w:p>
            <w:pPr>
              <w:pStyle w:val="Compact"/>
            </w:pPr>
          </w:p>
        </w:tc>
        <w:tc>
          <w:tcPr>
            <w:tcW w:w="7472" w:type="dxa"/>
            <w:vAlign w:val="center"/>
          </w:tcPr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min</m:t>
                    </m:r>
                  </m:e>
                  <m:lim>
                    <m:r>
                      <m:t>ϑ</m:t>
                    </m:r>
                    <m:r>
                      <m:rPr>
                        <m:sty m:val="p"/>
                      </m:rPr>
                      <m:t>∈</m:t>
                    </m:r>
                    <m:sSup>
                      <m:e>
                        <m:r>
                          <m:t>Δ</m:t>
                        </m:r>
                      </m:e>
                      <m:sup>
                        <m:r>
                          <m:t>J</m:t>
                        </m:r>
                      </m:sup>
                    </m:sSup>
                  </m:lim>
                </m:limLow>
                <m:r>
                  <m:t> </m:t>
                </m:r>
                <m:r>
                  <m:t> 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t>ρ</m:t>
                    </m:r>
                  </m:den>
                </m:f>
                <m:sSup>
                  <m:e>
                    <m:d>
                      <m:dPr>
                        <m:begChr m:val="∥"/>
                        <m:endChr m:val="∥"/>
                        <m:sepChr m:val=""/>
                        <m:grow/>
                      </m:dPr>
                      <m:e>
                        <m:f>
                          <m:fPr>
                            <m:type m:val="lin"/>
                          </m:fPr>
                          <m:num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num>
                          <m:den>
                            <m:r>
                              <m:t>t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j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ϑ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 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j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ϑ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ρ</m:t>
                </m:r>
                <m:r>
                  <m:rPr>
                    <m:sty m:val="p"/>
                  </m:rPr>
                  <m:t>≔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w="800" w:type="dxa"/>
            <w:vAlign w:val="center"/>
          </w:tcPr>
          <w:p>
            <w:pPr>
              <w:pStyle w:val="Compact"/>
              <w:jc w:val="right"/>
            </w:pPr>
            <w:r>
              <w:t xml:space="preserve">(4.2)</w:t>
            </w:r>
          </w:p>
        </w:tc>
      </w:tr>
    </w:tbl>
    <w:p>
      <w:pPr>
        <w:pStyle w:val="BodyText"/>
      </w:pPr>
      <w:r>
        <w:t xml:space="preserve">after which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nor/>
                <m:sty m:val="p"/>
              </m:rPr>
              <m:t>new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‾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/</m:t>
            </m:r>
            <m:r>
              <m:t>t</m:t>
            </m:r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ϑ</m:t>
                    </m:r>
                  </m:e>
                  <m:sub>
                    <m:r>
                      <m:t>j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/</m:t>
        </m:r>
        <m:r>
          <m:t>ρ</m:t>
        </m:r>
      </m:oMath>
      <w:r>
        <w:t xml:space="preserve">. Only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  <m:r>
          <m:rPr>
            <m:sty m:val="p"/>
          </m:rPr>
          <m:t>×</m:t>
        </m:r>
        <m:r>
          <m:t>J</m:t>
        </m:r>
      </m:oMath>
      <w:r>
        <w:t xml:space="preserve"> </w:t>
      </w:r>
      <w:r>
        <w:t xml:space="preserve">Gram matrix</w:t>
      </w:r>
      <w:r>
        <w:t xml:space="preserve"> </w:t>
      </w:r>
      <m:oMath>
        <m:sSub>
          <m:e>
            <m:r>
              <m:t>G</m:t>
            </m:r>
          </m:e>
          <m:sub>
            <m:r>
              <m:t>j</m:t>
            </m:r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b</m:t>
            </m:r>
          </m:e>
          <m:sub>
            <m:r>
              <m:t>l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t> </m:t>
        </m:r>
        <m:acc>
          <m:accPr>
            <m:chr m:val="‾"/>
          </m:accPr>
          <m:e>
            <m:r>
              <m:t>λ</m:t>
            </m:r>
          </m:e>
        </m:acc>
        <m:r>
          <m:rPr>
            <m:sty m:val="p"/>
          </m:rPr>
          <m:t>⟩</m:t>
        </m:r>
      </m:oMath>
      <w:r>
        <w:t xml:space="preserve"> </w:t>
      </w:r>
      <w:r>
        <w:t xml:space="preserve">are needed; both are maintained incrementally, so a</w:t>
      </w:r>
      <w:r>
        <w:t xml:space="preserve"> </w:t>
      </w:r>
      <w:r>
        <w:t xml:space="preserve">master costs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J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plus one kernel product per new cut. We solve it with an</w:t>
      </w:r>
      <w:r>
        <w:t xml:space="preserve"> </w:t>
      </w:r>
      <w:r>
        <w:t xml:space="preserve">off-the-shelf QP solver, which the project statement allows.</w:t>
      </w:r>
    </w:p>
    <w:bookmarkEnd w:id="34"/>
    <w:bookmarkStart w:id="35" w:name="_Toc100017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Primal recovery and Dantzig–Wolfe</w:t>
      </w:r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α</m:t>
            </m:r>
          </m:e>
        </m:acc>
        <m:r>
          <m:rPr>
            <m:sty m:val="p"/>
          </m:rPr>
          <m:t>≔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ϑ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α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r>
        <w:rPr>
          <w:iCs/>
          <w:i/>
        </w:rPr>
        <w:t xml:space="preserve">aggregated solution</w:t>
      </w:r>
      <w:r>
        <w:t xml:space="preserve"> </w:t>
      </w:r>
      <w:r>
        <w:t xml:space="preserve">built</w:t>
      </w:r>
      <w:r>
        <w:t xml:space="preserve"> </w:t>
      </w:r>
      <w:r>
        <w:t xml:space="preserve">from the master problem’s dual multipliers. Since</w:t>
      </w:r>
      <w:r>
        <w:t xml:space="preserve"> </w:t>
      </w:r>
      <m:oMath>
        <m:r>
          <m:t>ϑ</m:t>
        </m:r>
        <m:r>
          <m:rPr>
            <m:sty m:val="p"/>
          </m:rPr>
          <m:t>∈</m:t>
        </m:r>
        <m:sSup>
          <m:e>
            <m:r>
              <m:t>Δ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convex,</w:t>
      </w:r>
      <w:r>
        <w:t xml:space="preserve"> </w:t>
      </w:r>
      <m:oMath>
        <m:acc>
          <m:accPr>
            <m:chr m:val="̂"/>
          </m:accPr>
          <m:e>
            <m:r>
              <m:t>α</m:t>
            </m:r>
          </m:e>
        </m:acc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t xml:space="preserve">— it is a</w:t>
      </w:r>
      <w:r>
        <w:t xml:space="preserve"> </w:t>
      </w:r>
      <w:r>
        <w:rPr>
          <w:iCs/>
          <w:i/>
        </w:rPr>
        <w:t xml:space="preserve">feasible</w:t>
      </w:r>
      <w:r>
        <w:t xml:space="preserve"> </w:t>
      </w:r>
      <w:r>
        <w:t xml:space="preserve">solution of (D) at</w:t>
      </w:r>
      <w:r>
        <w:t xml:space="preserve"> </w:t>
      </w:r>
      <w:r>
        <w:t xml:space="preserve">every iteration. Moreover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ϑ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p>
          <m:e>
            <m:r>
              <m:t>Φ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  <m:acc>
          <m:accPr>
            <m:chr m:val="̂"/>
          </m:accPr>
          <m:e>
            <m:r>
              <m:t>α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ϑ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b"/>
              </m:rPr>
              <m:t>1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̂"/>
          </m:accPr>
          <m:e>
            <m:r>
              <m:t>α</m:t>
            </m:r>
          </m:e>
        </m:acc>
      </m:oMath>
      <w:r>
        <w:t xml:space="preserve">, so for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(4.2) becomes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ϑ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Δ</m:t>
                  </m:r>
                </m:e>
                <m:sup>
                  <m:r>
                    <m:t>J</m:t>
                  </m:r>
                </m:sup>
              </m:sSup>
            </m:lim>
          </m:limLow>
          <m:r>
            <m:t> 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̂"/>
                </m:accPr>
                <m:e>
                  <m:r>
                    <m:t>α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Q</m:t>
          </m:r>
          <m:acc>
            <m:accPr>
              <m:chr m:val="̂"/>
            </m:accPr>
            <m:e>
              <m:r>
                <m:t>α</m:t>
              </m:r>
            </m:e>
          </m:acc>
          <m:r>
            <m:rPr>
              <m:sty m:val="p"/>
            </m:rPr>
            <m:t>−</m:t>
          </m:r>
          <m:sSup>
            <m:e>
              <m:r>
                <m:rPr>
                  <m:sty m:val="b"/>
                </m:rPr>
                <m:t>1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̂"/>
            </m:accPr>
            <m:e>
              <m:r>
                <m:t>α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i.e. </w:t>
      </w:r>
      <w:r>
        <w:rPr>
          <w:iCs/>
          <w:i/>
        </w:rPr>
        <w:t xml:space="preserve">the SVM dual (D) restricted to</w:t>
      </w:r>
      <w:r>
        <w:rPr>
          <w:iCs/>
          <w:i/>
        </w:rPr>
        <w:t xml:space="preserve"> </w:t>
      </w:r>
      <m:oMath>
        <m:r>
          <m:rPr>
            <m:nor/>
            <m:sty m:val="p"/>
          </m:rPr>
          <m:t>conv</m:t>
        </m:r>
        <m:r>
          <m:rPr>
            <m:sty m:val="p"/>
          </m:rPr>
          <m:t>{</m:t>
        </m:r>
        <m:sSup>
          <m:e>
            <m:r>
              <m:t>α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α</m:t>
            </m:r>
          </m:e>
          <m:sup>
            <m:r>
              <m:t>J</m:t>
            </m:r>
          </m:sup>
        </m:sSup>
        <m:r>
          <m:rPr>
            <m:sty m:val="p"/>
          </m:rPr>
          <m:t>}</m:t>
        </m:r>
        <m:r>
          <m:rPr>
            <m:sty m:val="p"/>
          </m:rPr>
          <m:t>⊆</m:t>
        </m:r>
        <m:r>
          <m:t>D</m:t>
        </m:r>
      </m:oMath>
      <w:r>
        <w:t xml:space="preserve">. The method is therefore</w:t>
      </w:r>
      <w:r>
        <w:t xml:space="preserve"> </w:t>
      </w:r>
      <w:r>
        <w:t xml:space="preserve">exactly Dantzig–Wolfe decomposition of (D) with (KP) as pricing</w:t>
      </w:r>
      <w:r>
        <w:t xml:space="preserve"> </w:t>
      </w:r>
      <w:r>
        <w:t xml:space="preserve">problem, and bundle, cutting planes on (2.1) and column generation</w:t>
      </w:r>
      <w:r>
        <w:t xml:space="preserve"> </w:t>
      </w:r>
      <w:r>
        <w:t xml:space="preserve">on (D) are three views of one algorithm. Two practical consequences:</w:t>
      </w:r>
    </w:p>
    <w:p>
      <w:pPr>
        <w:pStyle w:val="Compact"/>
        <w:numPr>
          <w:ilvl w:val="0"/>
          <w:numId w:val="1003"/>
        </w:numPr>
      </w:pPr>
      <w:r>
        <w:t xml:space="preserve">the master returns the primal solution</w:t>
      </w:r>
      <w:r>
        <w:t xml:space="preserve"> </w:t>
      </w:r>
      <m:oMath>
        <m:acc>
          <m:accPr>
            <m:chr m:val="̂"/>
          </m:accPr>
          <m:e>
            <m:r>
              <m:t>α</m:t>
            </m:r>
          </m:e>
        </m:acc>
        <m:r>
          <m:rPr>
            <m:sty m:val="p"/>
          </m:rPr>
          <m:t>→</m:t>
        </m:r>
        <m:sSup>
          <m:e>
            <m:r>
              <m:t>α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, so nothing</w:t>
      </w:r>
      <w:r>
        <w:t xml:space="preserve"> </w:t>
      </w:r>
      <w:r>
        <w:t xml:space="preserve">extra is needed to recover the classifier;</w:t>
      </w:r>
    </w:p>
    <w:p>
      <w:pPr>
        <w:pStyle w:val="Compact"/>
        <w:numPr>
          <w:ilvl w:val="0"/>
          <w:numId w:val="1003"/>
        </w:numPr>
        <w:spacing w:before="0" w:after="140"/>
      </w:pPr>
      <m:oMath>
        <m:r>
          <m:t>ψ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≤</m:t>
        </m:r>
        <m:r>
          <m:t>v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D</m:t>
            </m:r>
          </m:e>
        </m:d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Q</m:t>
        </m:r>
        <m:acc>
          <m:accPr>
            <m:chr m:val="̂"/>
          </m:accPr>
          <m:e>
            <m:r>
              <m:t>α</m:t>
            </m:r>
          </m:e>
        </m:acc>
        <m:r>
          <m:rPr>
            <m:sty m:val="p"/>
          </m:rPr>
          <m:t>−</m:t>
        </m:r>
        <m:sSup>
          <m:e>
            <m:r>
              <m:rPr>
                <m:sty m:val="b"/>
              </m:rPr>
              <m:t>1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̂"/>
          </m:accPr>
          <m:e>
            <m:r>
              <m:t>α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iteration, a</w:t>
      </w:r>
      <w:r>
        <w:t xml:space="preserve"> </w:t>
      </w:r>
      <w:r>
        <w:rPr>
          <w:bCs/>
          <w:b/>
        </w:rPr>
        <w:t xml:space="preserve">certified gap</w:t>
      </w:r>
      <w:r>
        <w:t xml:space="preserve"> </w:t>
      </w:r>
      <w:r>
        <w:t xml:space="preserve">— which decomposition algorithms for the</w:t>
      </w:r>
      <w:r>
        <w:t xml:space="preserve"> </w:t>
      </w:r>
      <w:r>
        <w:t xml:space="preserve">SVM such as SMO do not provide.</w:t>
      </w:r>
    </w:p>
    <w:bookmarkEnd w:id="35"/>
    <w:bookmarkStart w:id="36" w:name="_Toc100018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Kernelised form</w:t>
      </w:r>
    </w:p>
    <w:p>
      <w:pPr>
        <w:pStyle w:val="FirstParagraph"/>
      </w:pPr>
      <w:r>
        <w:t xml:space="preserve">For a general kernel</w:t>
      </w:r>
      <w:r>
        <w:t xml:space="preserve"> </w:t>
      </w:r>
      <m:oMath>
        <m:r>
          <m:t>ℋ</m:t>
        </m:r>
      </m:oMath>
      <w:r>
        <w:t xml:space="preserve"> </w:t>
      </w:r>
      <w:r>
        <w:t xml:space="preserve">may be infinite-dimensional, so write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ϕ</m:t>
            </m:r>
          </m:e>
          <m:sub>
            <m:r>
              <m:t>j</m:t>
            </m:r>
          </m:sub>
        </m:sSub>
      </m:oMath>
      <w:r>
        <w:t xml:space="preserve">. This is without loss of generality: a component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orthogonal to</w:t>
      </w:r>
      <w:r>
        <w:t xml:space="preserve"> </w:t>
      </w:r>
      <m:oMath>
        <m:r>
          <m:rPr>
            <m:nor/>
            <m:sty m:val="p"/>
          </m:rPr>
          <m:t>span</m:t>
        </m:r>
        <m:r>
          <m:rPr>
            <m:sty m:val="p"/>
          </m:rPr>
          <m:t>{</m:t>
        </m:r>
        <m:sSub>
          <m:e>
            <m:r>
              <m:t>ϕ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leaves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t xml:space="preserve"> </w:t>
      </w:r>
      <w:r>
        <w:t xml:space="preserve">unchanged and</w:t>
      </w:r>
      <w:r>
        <w:t xml:space="preserve"> </w:t>
      </w:r>
      <w:r>
        <w:t xml:space="preserve">only increases</w:t>
      </w:r>
      <w:r>
        <w:t xml:space="preserve"> </w:t>
      </w:r>
      <m:oMath>
        <m:r>
          <m:rPr>
            <m:sty m:val="p"/>
          </m:rPr>
          <m:t>∥</m:t>
        </m:r>
        <m:r>
          <m:t>λ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, so it is zero at the optimum. Then</w:t>
      </w:r>
      <w:r>
        <w:t xml:space="preserve"> </w:t>
      </w:r>
      <m:oMath>
        <m:r>
          <m:rPr>
            <m:sty m:val="p"/>
          </m:rPr>
          <m:t>⟨</m:t>
        </m:r>
        <m:r>
          <m:t>λ</m:t>
        </m:r>
        <m:r>
          <m:rPr>
            <m:sty m:val="p"/>
          </m:rPr>
          <m:t>,</m:t>
        </m:r>
        <m:r>
          <m:t> </m:t>
        </m:r>
        <m:sSub>
          <m:e>
            <m:r>
              <m:t>ϕ</m:t>
            </m:r>
          </m:e>
          <m:sub>
            <m:r>
              <m:t>i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=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  <m:r>
                  <m:t>β</m:t>
                </m:r>
              </m:e>
            </m:d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∥</m:t>
        </m:r>
        <m:r>
          <m:t>λ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β</m:t>
            </m:r>
          </m:e>
          <m:sup>
            <m:r>
              <m:rPr>
                <m:sty m:val="p"/>
              </m:rPr>
              <m:t>⊤</m:t>
            </m:r>
          </m:sup>
        </m:sSup>
        <m:r>
          <m:t>K</m:t>
        </m:r>
        <m:r>
          <m:t>β</m:t>
        </m:r>
      </m:oMath>
      <w:r>
        <w:t xml:space="preserve">, and one</w:t>
      </w:r>
      <w:r>
        <w:t xml:space="preserve"> </w:t>
      </w:r>
      <w:r>
        <w:t xml:space="preserve">oracle call costs one matrix–vector product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plus a sort. Note that the</w:t>
      </w:r>
      <w:r>
        <w:t xml:space="preserve"> </w:t>
      </w:r>
      <w:r>
        <w:t xml:space="preserve">correct stabilising term is the</w:t>
      </w:r>
      <w:r>
        <w:t xml:space="preserve"> </w:t>
      </w:r>
      <w:r>
        <w:rPr>
          <w:iCs/>
          <w:i/>
        </w:rPr>
        <w:t xml:space="preserve">RKHS</w:t>
      </w:r>
      <w:r>
        <w:t xml:space="preserve"> </w:t>
      </w:r>
      <w:r>
        <w:t xml:space="preserve">norm</w:t>
      </w:r>
      <w:r>
        <w:t xml:space="preserve"> </w:t>
      </w:r>
      <m:oMath>
        <m:r>
          <m:rPr>
            <m:sty m:val="p"/>
          </m:rPr>
          <m:t>∥</m:t>
        </m:r>
        <m:r>
          <m:t>λ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λ</m:t>
            </m:r>
          </m:e>
        </m:acc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β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β</m:t>
                    </m:r>
                  </m:e>
                </m:acc>
              </m:e>
            </m:d>
          </m:e>
          <m:sup>
            <m:r>
              <m:rPr>
                <m:sty m:val="p"/>
              </m:rPr>
              <m:t>⊤</m:t>
            </m:r>
          </m:sup>
        </m:sSup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β</m:t>
            </m:r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t>β</m:t>
                </m:r>
              </m:e>
            </m:acc>
          </m:e>
        </m:d>
      </m:oMath>
      <w:r>
        <w:t xml:space="preserve"> </w:t>
      </w:r>
      <w:r>
        <w:t xml:space="preserve">rather than</w:t>
      </w:r>
      <w:r>
        <w:t xml:space="preserve"> </w:t>
      </w:r>
      <w:r>
        <w:t xml:space="preserve">the Euclidean</w:t>
      </w:r>
      <w:r>
        <w:t xml:space="preserve"> </w:t>
      </w:r>
      <m:oMath>
        <m:r>
          <m:rPr>
            <m:sty m:val="p"/>
          </m:rPr>
          <m:t>∥</m:t>
        </m:r>
        <m:r>
          <m:t>β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β</m:t>
            </m:r>
          </m:e>
        </m:acc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; it is the</w:t>
      </w:r>
      <w:r>
        <w:t xml:space="preserve"> </w:t>
      </w:r>
      <m:oMath>
        <m:r>
          <m:t>K</m:t>
        </m:r>
      </m:oMath>
      <w:r>
        <w:t xml:space="preserve">-metric that</w:t>
      </w:r>
      <w:r>
        <w:t xml:space="preserve"> </w:t>
      </w:r>
      <w:r>
        <w:t xml:space="preserve">makes (4.2) come out in the form above.</w:t>
      </w:r>
    </w:p>
    <w:bookmarkEnd w:id="36"/>
    <w:bookmarkStart w:id="37" w:name="_Toc100019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Cost, and how many cuts are needed</w:t>
      </w:r>
    </w:p>
    <w:p>
      <w:pPr>
        <w:pStyle w:val="FirstParagraph"/>
      </w:pPr>
      <w:r>
        <w:t xml:space="preserve">Per iteration: one oracle call (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for the kernel product,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log</m:t>
            </m:r>
            <m:r>
              <m:t>m</m:t>
            </m:r>
          </m:e>
        </m:d>
      </m:oMath>
      <w:r>
        <w:t xml:space="preserve"> </w:t>
      </w:r>
      <w:r>
        <w:t xml:space="preserve">for the</w:t>
      </w:r>
      <w:r>
        <w:t xml:space="preserve"> </w:t>
      </w:r>
      <w:r>
        <w:t xml:space="preserve">sort) plus one master (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J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in the QP,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  <m:r>
              <m:t>m</m:t>
            </m:r>
          </m:e>
        </m:d>
      </m:oMath>
      <w:r>
        <w:t xml:space="preserve"> </w:t>
      </w:r>
      <w:r>
        <w:t xml:space="preserve">to update</w:t>
      </w:r>
      <w:r>
        <w:t xml:space="preserve"> </w:t>
      </w:r>
      <m:oMath>
        <m:r>
          <m:t>G</m:t>
        </m:r>
      </m:oMath>
      <w:r>
        <w:t xml:space="preserve">). The interesting</w:t>
      </w:r>
      <w:r>
        <w:t xml:space="preserve"> </w:t>
      </w:r>
      <w:r>
        <w:t xml:space="preserve">question is how large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must grow. The oracle returns essentially</w:t>
      </w:r>
      <w:r>
        <w:t xml:space="preserve"> </w:t>
      </w:r>
      <w:r>
        <w:rPr>
          <w:iCs/>
          <w:i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D</m:t>
        </m:r>
      </m:oMath>
      <w:r>
        <w:t xml:space="preserve">, that is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vectors, and</w:t>
      </w:r>
      <w:r>
        <w:t xml:space="preserve"> </w:t>
      </w:r>
      <m:oMath>
        <m:acc>
          <m:accPr>
            <m:chr m:val="̂"/>
          </m:accPr>
          <m:e>
            <m:r>
              <m:t>α</m:t>
            </m:r>
          </m:e>
        </m:acc>
      </m:oMath>
      <w:r>
        <w:t xml:space="preserve"> </w:t>
      </w:r>
      <w:r>
        <w:t xml:space="preserve">is a convex combination of them: a</w:t>
      </w:r>
      <w:r>
        <w:t xml:space="preserve"> </w:t>
      </w:r>
      <w:r>
        <w:t xml:space="preserve">component of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sitting at a bound is produced by a single vertex, but</w:t>
      </w:r>
      <w:r>
        <w:t xml:space="preserve"> </w:t>
      </w:r>
      <w:r>
        <w:t xml:space="preserve">every</w:t>
      </w:r>
      <w:r>
        <w:t xml:space="preserve"> </w:t>
      </w:r>
      <w:r>
        <w:rPr>
          <w:iCs/>
          <w:i/>
        </w:rPr>
        <w:t xml:space="preserve">free</w:t>
      </w:r>
      <w:r>
        <w:t xml:space="preserve"> </w:t>
      </w:r>
      <w:r>
        <w:t xml:space="preserve">support vector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Sup>
          <m:e>
            <m:r>
              <m:t>α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⋆</m:t>
            </m:r>
          </m:sup>
        </m:sSubSup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must be produced by mixing</w:t>
      </w:r>
      <w:r>
        <w:t xml:space="preserve"> </w:t>
      </w:r>
      <w:r>
        <w:t xml:space="preserve">vertices that disagree on</w:t>
      </w:r>
      <w:r>
        <w:t xml:space="preserve"> </w:t>
      </w:r>
      <m:oMath>
        <m:r>
          <m:t>i</m:t>
        </m:r>
      </m:oMath>
      <w:r>
        <w:t xml:space="preserve">. We therefore expect, and measure in</w:t>
      </w:r>
      <w:r>
        <w:t xml:space="preserve"> </w:t>
      </w:r>
      <w:r>
        <w:t xml:space="preserve">Section 7.3, that the number of cuts the method needs is governed by</w:t>
      </w:r>
      <w:r>
        <w:t xml:space="preserve"> </w:t>
      </w:r>
      <w:r>
        <w:t xml:space="preserve">the number of free support vectors, and that truncating the bundle below that number</w:t>
      </w:r>
      <w:r>
        <w:t xml:space="preserve"> </w:t>
      </w:r>
      <w:r>
        <w:t xml:space="preserve">makes the gap stall — the classical Dantzig–Wolfe tailing-off.</w:t>
      </w:r>
    </w:p>
    <w:bookmarkEnd w:id="37"/>
    <w:bookmarkEnd w:id="38"/>
    <w:bookmarkStart w:id="39" w:name="_Toc100020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The General-Purpose Solver</w:t>
      </w:r>
    </w:p>
    <w:p>
      <w:pPr>
        <w:pStyle w:val="FirstParagraph"/>
      </w:pPr>
      <w:r>
        <w:t xml:space="preserve">For (A2) the dual (D) is handed as a dense convex QP to an off-the-shelf</w:t>
      </w:r>
      <w:r>
        <w:t xml:space="preserve"> </w:t>
      </w:r>
      <w:r>
        <w:t xml:space="preserve">interior-point solver. Mapping it onto the generic QP interface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{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z</m:t>
            </m:r>
          </m:e>
          <m:sup>
            <m:r>
              <m:rPr>
                <m:sty m:val="p"/>
              </m:rPr>
              <m:t>⊤</m:t>
            </m:r>
          </m:sup>
        </m:sSup>
        <m:r>
          <m:t>H</m:t>
        </m:r>
        <m:r>
          <m:t>z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⊤</m:t>
            </m:r>
          </m:sup>
        </m:sSup>
        <m:r>
          <m:t>z</m:t>
        </m:r>
        <m:r>
          <m:rPr>
            <m:sty m:val="p"/>
          </m:rPr>
          <m:t>: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eq</m:t>
            </m:r>
          </m:sub>
        </m:sSub>
        <m:r>
          <m:t>z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rPr>
                <m:nor/>
                <m:sty m:val="p"/>
              </m:rPr>
              <m:t>eq</m:t>
            </m:r>
          </m:sub>
        </m:sSub>
        <m:r>
          <m:rPr>
            <m:sty m:val="p"/>
          </m:rPr>
          <m:t>,</m:t>
        </m:r>
        <m:r>
          <m:t> </m:t>
        </m:r>
        <m:r>
          <m:t>l</m:t>
        </m:r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}</m:t>
        </m:r>
      </m:oMath>
      <w:r>
        <w:t xml:space="preserve"> </w:t>
      </w:r>
      <w:r>
        <w:t xml:space="preserve">requires only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"/>
            </m:rP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eq</m:t>
              </m:r>
            </m:sub>
          </m:sSub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eq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l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u</m:t>
          </m:r>
          <m:r>
            <m:rPr>
              <m:sty m:val="p"/>
            </m:rPr>
            <m:t>=</m:t>
          </m:r>
          <m:r>
            <m:t>C</m:t>
          </m:r>
          <m:r>
            <m:rPr>
              <m:sty m:val="b"/>
            </m:rP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bias is read off as the multiplier of the single equality row, exactly as in</w:t>
      </w:r>
      <w:r>
        <w:t xml:space="preserve"> </w:t>
      </w:r>
      <w:r>
        <w:t xml:space="preserve">Section 2.3. This is the reference both for solution quality — we</w:t>
      </w:r>
      <w:r>
        <w:t xml:space="preserve"> </w:t>
      </w:r>
      <w:r>
        <w:t xml:space="preserve">verify that (A1) and (A2) return the same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test accuracy —</w:t>
      </w:r>
      <w:r>
        <w:t xml:space="preserve"> </w:t>
      </w:r>
      <w:r>
        <w:t xml:space="preserve">and for running time.</w:t>
      </w:r>
    </w:p>
    <w:bookmarkEnd w:id="39"/>
    <w:bookmarkStart w:id="42" w:name="_Toc100021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Multiclass SVM</w:t>
      </w:r>
    </w:p>
    <w:bookmarkStart w:id="40" w:name="_Toc100022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One-vs-Rest approach</w:t>
      </w:r>
    </w:p>
    <w:p>
      <w:pPr>
        <w:pStyle w:val="FirstParagraph"/>
      </w:pPr>
      <w:r>
        <w:t xml:space="preserve">The SVM is a binary classifier.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classes and labels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}</m:t>
        </m:r>
      </m:oMath>
      <w:r>
        <w:t xml:space="preserve">, One-vs-Rest solves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independent binary problems: for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set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i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≠</m:t>
                    </m:r>
                    <m:r>
                      <m:t>k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solve (P)/(D) 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k</m:t>
            </m:r>
          </m:sup>
        </m:sSup>
      </m:oMath>
      <w:r>
        <w:t xml:space="preserve">, obtaining</w:t>
      </w:r>
      <w:r>
        <w:t xml:space="preserve"> </w:t>
      </w:r>
      <m:oMath>
        <m:sSup>
          <m:e>
            <m:r>
              <m:t>f</m:t>
            </m:r>
          </m:e>
          <m:sup>
            <m:r>
              <m:t>k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α</m:t>
                </m:r>
              </m:e>
              <m:sub>
                <m:r>
                  <m:t>i</m:t>
                </m:r>
              </m:sub>
              <m:sup>
                <m:r>
                  <m:t>k</m:t>
                </m:r>
              </m:sup>
            </m:sSubSup>
          </m:e>
        </m:nary>
        <m:sSubSup>
          <m:e>
            <m:r>
              <m:t>y</m:t>
            </m:r>
          </m:e>
          <m:sub>
            <m:r>
              <m:t>i</m:t>
            </m:r>
          </m:sub>
          <m:sup>
            <m:r>
              <m:t>k</m:t>
            </m:r>
          </m:sup>
        </m:sSubSup>
        <m:r>
          <m:t>κ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</m:e>
        </m:d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k</m:t>
            </m:r>
          </m:sup>
        </m:sSup>
      </m:oMath>
      <w:r>
        <w:t xml:space="preserve">. A new point is assigned to</w:t>
      </w:r>
      <w:r>
        <w:t xml:space="preserve"> </w:t>
      </w:r>
      <m:oMath>
        <m:sSub>
          <m:e>
            <m:r>
              <m:rPr>
                <m:nor/>
                <m:sty m:val="p"/>
              </m:rPr>
              <m:t>arg max</m:t>
            </m:r>
          </m:e>
          <m:sub>
            <m:r>
              <m:t>k</m:t>
            </m:r>
          </m:sub>
        </m:sSub>
        <m:sSup>
          <m:e>
            <m:r>
              <m:t>f</m:t>
            </m:r>
          </m:e>
          <m:sup>
            <m:r>
              <m:t>k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. It constructs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models, against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One-vs-One.</w:t>
      </w:r>
    </w:p>
    <w:p>
      <w:pPr>
        <w:pStyle w:val="BodyText"/>
      </w:pPr>
      <w:r>
        <w:t xml:space="preserve">Three observations matter for what follows: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problems share</w:t>
      </w:r>
      <w:r>
        <w:t xml:space="preserve"> </w:t>
      </w:r>
      <w:r>
        <w:rPr>
          <w:iCs/>
          <w:i/>
        </w:rPr>
        <w:t xml:space="preserve">the same</w:t>
      </w:r>
      <w:r>
        <w:t xml:space="preserve"> </w:t>
      </w:r>
      <w:r>
        <w:t xml:space="preserve">kernel matrix</w:t>
      </w:r>
      <w:r>
        <w:t xml:space="preserve"> </w:t>
      </w:r>
      <m:oMath>
        <m:r>
          <m:t>K</m:t>
        </m:r>
      </m:oMath>
      <w:r>
        <w:t xml:space="preserve">; they differ only</w:t>
      </w:r>
      <w:r>
        <w:t xml:space="preserve"> </w:t>
      </w:r>
      <w:r>
        <w:t xml:space="preserve">through the label vector, since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k</m:t>
            </m:r>
          </m:sup>
        </m:sSup>
        <m:r>
          <m:t>K</m:t>
        </m:r>
        <m:sSup>
          <m:e>
            <m:r>
              <m:t>Y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D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depends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only</w:t>
      </w:r>
      <w:r>
        <w:t xml:space="preserve"> </w:t>
      </w:r>
      <w:r>
        <w:t xml:space="preserve">through the single equality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k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⊤</m:t>
            </m:r>
          </m:sup>
        </m:sSup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never formed.</w:t>
      </w:r>
    </w:p>
    <w:p>
      <w:pPr>
        <w:pStyle w:val="Compact"/>
        <w:numPr>
          <w:ilvl w:val="0"/>
          <w:numId w:val="1004"/>
        </w:numPr>
      </w:pPr>
      <w:r>
        <w:t xml:space="preserve">The classifiers are trained independently but compared at prediction time on a</w:t>
      </w:r>
      <w:r>
        <w:t xml:space="preserve"> </w:t>
      </w:r>
      <w:r>
        <w:t xml:space="preserve">common scale that nothing in the training enforces; this produces the familiar</w:t>
      </w:r>
      <w:r>
        <w:t xml:space="preserve"> </w:t>
      </w:r>
      <w:r>
        <w:t xml:space="preserve">One-vs-Rest pathologies, ties (</w:t>
      </w:r>
      <m:oMath>
        <m:sSup>
          <m:e>
            <m:r>
              <m:t>f</m:t>
            </m:r>
          </m:e>
          <m:sup>
            <m:r>
              <m:t>k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two</w:t>
      </w:r>
      <w:r>
        <w:t xml:space="preserve"> </w:t>
      </w:r>
      <m:oMath>
        <m:r>
          <m:t>k</m:t>
        </m:r>
      </m:oMath>
      <w:r>
        <w:t xml:space="preserve">) and rejections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t>k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).</w:t>
      </w:r>
    </w:p>
    <w:p>
      <w:pPr>
        <w:pStyle w:val="Compact"/>
        <w:numPr>
          <w:ilvl w:val="0"/>
          <w:numId w:val="1004"/>
        </w:numPr>
        <w:spacing w:before="0" w:after="140"/>
      </w:pPr>
      <w:r>
        <w:t xml:space="preserve">Each binary problem is unbalanced, roughly</w:t>
      </w:r>
      <w:r>
        <w:t xml:space="preserve"> </w:t>
      </w:r>
      <m:oMath>
        <m:r>
          <m:t>1</m:t>
        </m:r>
        <m:r>
          <m:rPr>
            <m:sty m:val="p"/>
          </m:rPr>
          <m:t>: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.</w:t>
      </w:r>
    </w:p>
    <w:bookmarkEnd w:id="40"/>
    <w:bookmarkStart w:id="41" w:name="_Toc100023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Does solving one problem help the others?</w:t>
      </w:r>
    </w:p>
    <w:p>
      <w:pPr>
        <w:pStyle w:val="FirstParagraph"/>
      </w:pPr>
      <w:r>
        <w:t xml:space="preserve">The project statement asks this explicitly.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problems differ only through</w:t>
      </w:r>
      <w:r>
        <w:t xml:space="preserve"> </w:t>
      </w:r>
      <m:oMath>
        <m:sSup>
          <m:e>
            <m:r>
              <m:t>y</m:t>
            </m:r>
          </m:e>
          <m:sup>
            <m:r>
              <m:t>k</m:t>
            </m:r>
          </m:sup>
        </m:sSup>
      </m:oMath>
      <w:r>
        <w:t xml:space="preserve">, so there are three candidate mechanisms, and they are not equally useful.</w:t>
      </w:r>
    </w:p>
    <w:p>
      <w:pPr>
        <w:pStyle w:val="BodyText"/>
      </w:pPr>
      <w:r>
        <w:rPr>
          <w:bCs/>
          <w:b/>
        </w:rPr>
        <w:t xml:space="preserve">The kernel matrix.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computed once and shared;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k</m:t>
            </m:r>
          </m:sup>
        </m:sSup>
        <m:r>
          <m:t>K</m:t>
        </m:r>
        <m:sSup>
          <m:e>
            <m:r>
              <m:t>Y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never formed, since the oracle only ever needs</w:t>
      </w:r>
      <w:r>
        <w:t xml:space="preserve"> </w:t>
      </w:r>
      <m:oMath>
        <m:r>
          <m:t>K</m:t>
        </m:r>
        <m:r>
          <m:t>β</m:t>
        </m:r>
      </m:oMath>
      <w:r>
        <w:t xml:space="preserve">. Better still,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oracles</w:t>
      </w:r>
      <w:r>
        <w:t xml:space="preserve"> </w:t>
      </w:r>
      <w:r>
        <w:t xml:space="preserve">can be run in lockstep so that their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matrix–vector products become one BLAS-3</w:t>
      </w:r>
      <w:r>
        <w:t xml:space="preserve"> </w:t>
      </w:r>
      <w:r>
        <w:t xml:space="preserve">product</w:t>
      </w:r>
      <w:r>
        <w:t xml:space="preserve"> </w:t>
      </w:r>
      <m:oMath>
        <m:r>
          <m:t>K</m:t>
        </m:r>
        <m:r>
          <m:t> 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β</m:t>
                </m:r>
              </m:e>
              <m:sup>
                <m:r>
                  <m:t>1</m:t>
                </m:r>
              </m:sup>
            </m:sSup>
            <m:r>
              <m:rPr>
                <m:sty m:val="p"/>
              </m:rPr>
              <m:t>⋯</m:t>
            </m:r>
            <m:sSup>
              <m:e>
                <m:r>
                  <m:t>β</m:t>
                </m:r>
              </m:e>
              <m:sup>
                <m:r>
                  <m:t>q</m:t>
                </m:r>
              </m:sup>
            </m:sSup>
          </m:e>
        </m:d>
      </m:oMath>
      <w:r>
        <w:t xml:space="preserve">. This is a genuine, structural saving of a factor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dominant cost.</w:t>
      </w:r>
    </w:p>
    <w:p>
      <w:pPr>
        <w:pStyle w:val="BodyText"/>
      </w:pPr>
      <w:r>
        <w:rPr>
          <w:bCs/>
          <w:b/>
        </w:rPr>
        <w:t xml:space="preserve">Warm-starting the multiplier.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w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,</w:t>
      </w:r>
      <w:r>
        <w:t xml:space="preserve"> </w:t>
      </w:r>
      <w:r>
        <w:t xml:space="preserve">warm-starting class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at class</w:t>
      </w:r>
      <w:r>
        <w:t xml:space="preserve"> </w:t>
      </w:r>
      <m:oMath>
        <m:r>
          <m:t>k</m:t>
        </m:r>
      </m:oMath>
      <w:r>
        <w:t xml:space="preserve">’s optimum amounts to assuming the two</w:t>
      </w:r>
      <w:r>
        <w:t xml:space="preserve"> </w:t>
      </w:r>
      <w:r>
        <w:t xml:space="preserve">separating hyperplanes are similar. They are not: the positive class changes</w:t>
      </w:r>
      <w:r>
        <w:t xml:space="preserve"> </w:t>
      </w:r>
      <w:r>
        <w:t xml:space="preserve">completely between the two problems.</w:t>
      </w:r>
    </w:p>
    <w:p>
      <w:pPr>
        <w:pStyle w:val="BodyText"/>
      </w:pPr>
      <w:r>
        <w:rPr>
          <w:bCs/>
          <w:b/>
        </w:rPr>
        <w:t xml:space="preserve">Transferring cuts.</w:t>
      </w:r>
      <w:r>
        <w:t xml:space="preserve"> </w:t>
      </w:r>
      <w:r>
        <w:t xml:space="preserve">Any point of</w:t>
      </w:r>
      <w:r>
        <w:t xml:space="preserve"> </w:t>
      </w:r>
      <m:oMath>
        <m:sSup>
          <m:e>
            <m:r>
              <m:t>D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generates a valid cut for class</w:t>
      </w:r>
      <w:r>
        <w:t xml:space="preserve"> </w:t>
      </w:r>
      <m:oMath>
        <m:r>
          <m:t>l</m:t>
        </m:r>
      </m:oMath>
      <w:r>
        <w:t xml:space="preserve">, and the</w:t>
      </w:r>
      <w:r>
        <w:t xml:space="preserve"> </w:t>
      </w:r>
      <m:oMath>
        <m:sSup>
          <m:e>
            <m:r>
              <m:t>D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differ only through the equality. Writing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for the two</w:t>
      </w:r>
      <w:r>
        <w:t xml:space="preserve"> </w:t>
      </w:r>
      <w:r>
        <w:t xml:space="preserve">positive blocks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for the rest,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sSup>
          <m:e>
            <m:r>
              <m:t>D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t>α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t>α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l</m:t>
                </m:r>
              </m:sub>
            </m:sSub>
          </m:e>
        </m:d>
        <m:r>
          <m:rPr>
            <m:sty m:val="p"/>
          </m:rPr>
          <m:t>+</m:t>
        </m:r>
        <m:r>
          <m:t>α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</m:oMath>
      <w:r>
        <w:t xml:space="preserve">, so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l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⊤</m:t>
            </m:r>
          </m:sup>
        </m:sSup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t>α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</m:oMath>
      <w:r>
        <w:t xml:space="preserve">: the</w:t>
      </w:r>
      <w:r>
        <w:t xml:space="preserve"> </w:t>
      </w:r>
      <w:r>
        <w:t xml:space="preserve">imbalance is known in closed form and can be repaired in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t xml:space="preserve"> </w:t>
      </w:r>
      <w:r>
        <w:t xml:space="preserve">by moving mass onto</w:t>
      </w:r>
      <w:r>
        <w:t xml:space="preserve"> </w:t>
      </w:r>
      <m:oMath>
        <m:sSub>
          <m:e>
            <m:r>
              <m:t>P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rPr>
          <w:iCs/>
          <w:i/>
        </w:rPr>
        <w:t xml:space="preserve">preserving the support pattern</w:t>
      </w:r>
      <w:r>
        <w:t xml:space="preserve"> </w:t>
      </w:r>
      <w:r>
        <w:t xml:space="preserve">of the transferred cut. This costs no</w:t>
      </w:r>
      <w:r>
        <w:t xml:space="preserve"> </w:t>
      </w:r>
      <w:r>
        <w:t xml:space="preserve">oracle call and no kernel product.</w:t>
      </w:r>
    </w:p>
    <w:p>
      <w:pPr>
        <w:pStyle w:val="BodyText"/>
      </w:pPr>
      <w:r>
        <w:t xml:space="preserve">Section 7.4 reports what each of the three is actually worth.</w:t>
      </w:r>
    </w:p>
    <w:bookmarkEnd w:id="41"/>
    <w:bookmarkEnd w:id="42"/>
    <w:sectPr>
      <w:footerReference r:id="rId9" w:type="default"/>
      <w:footerReference r:id="rId10" w:type="first"/>
      <w:pgSz w:h="16838" w:w="11906"/>
      <w:pgMar w:bottom="1417" w:footer="709" w:gutter="0" w:header="709" w:left="1417" w:right="1417" w:top="141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GB" w:val="en-GB"/>
      </w:rPr>
    </w:rPrDefault>
    <w:pPrDefault>
      <w:pPr>
        <w:spacing w:after="0" w:line="25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40" w:before="0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280" w:before="0"/>
      <w:outlineLvl w:val="0"/>
    </w:pPr>
    <w:rPr>
      <w:rFonts w:ascii="Times New Roman" w:cs="Times New Roman" w:eastAsia="Times New Roman" w:hAnsi="Times New Roman"/>
      <w:b/>
      <w:bCs/>
      <w:color w:val="000000"/>
      <w:sz w:val="40"/>
      <w:szCs w:val="4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2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60"/>
    </w:pPr>
    <w:rPr>
      <w:b/>
    </w:rPr>
  </w:style>
  <w:style w:customStyle="1" w:styleId="Definition" w:type="paragraph">
    <w:name w:val="Definition"/>
    <w:basedOn w:val="Normal"/>
    <w:pPr>
      <w:spacing w:after="100"/>
      <w:ind w:left="567"/>
      <w:jc w:val="both"/>
    </w:pPr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DefaultParagraphFont"/>
    <w:uiPriority w:val="99"/>
    <w:unhideWhenUsed/>
  </w:style>
  <w:style w:styleId="TOCHeading" w:type="paragraph">
    <w:name w:val="TOC Heading"/>
    <w:basedOn w:val="Heading1"/>
    <w:next w:val="BodyText"/>
    <w:uiPriority w:val="39"/>
    <w:unhideWhenUsed/>
    <w:qFormat/>
    <w:pPr>
      <w:outlineLvl w:val="9"/>
    </w:pPr>
  </w:style>
  <w:style w:styleId="TOC1" w:type="paragraph">
    <w:name w:val="toc 1"/>
    <w:basedOn w:val="Normal"/>
    <w:next w:val="Normal"/>
    <w:autoRedefine/>
    <w:uiPriority w:val="39"/>
    <w:unhideWhenUsed/>
    <w:pPr>
      <w:tabs>
        <w:tab w:pos="454" w:val="left"/>
        <w:tab w:leader="dot" w:pos="9072" w:val="right"/>
      </w:tabs>
      <w:spacing w:after="40" w:before="160"/>
    </w:pPr>
    <w:rPr>
      <w:b/>
      <w:bCs/>
    </w:rPr>
  </w:style>
  <w:style w:styleId="TOC2" w:type="paragraph">
    <w:name w:val="toc 2"/>
    <w:basedOn w:val="Normal"/>
    <w:next w:val="Normal"/>
    <w:autoRedefine/>
    <w:uiPriority w:val="39"/>
    <w:unhideWhenUsed/>
    <w:pPr>
      <w:tabs>
        <w:tab w:pos="1134" w:val="left"/>
        <w:tab w:leader="dot" w:pos="9072" w:val="right"/>
      </w:tabs>
      <w:spacing w:after="20" w:before="0"/>
      <w:ind w:left="454"/>
    </w:pPr>
  </w:style>
  <w:style w:customStyle="1" w:styleId="Requirement" w:type="paragraph">
    <w:name w:val="Requirement"/>
    <w:basedOn w:val="BodyText"/>
    <w:qFormat/>
    <w:pPr>
      <w:tabs>
        <w:tab w:pos="680" w:val="left"/>
      </w:tabs>
      <w:spacing w:after="60"/>
      <w:ind w:hanging="680" w:left="680"/>
    </w:pPr>
  </w:style>
  <w:style w:styleId="Footer" w:type="paragraph">
    <w:name w:val="footer"/>
    <w:basedOn w:val="Normal"/>
    <w:uiPriority w:val="99"/>
    <w:unhideWhenUsed/>
    <w:pPr>
      <w:jc w:val="center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10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29: Multi-class SVM with a Lagrangian Dual and Bundle Methods</dc:title>
  <dc:creator>Tolgonai Nasipbek kyzy; Hamse Hassan Adnan</dc:creator>
  <cp:keywords/>
  <dcterms:created xsi:type="dcterms:W3CDTF">2026-10-17T19:07:27Z</dcterms:created>
  <dcterms:modified xsi:type="dcterms:W3CDTF">2026-10-17T19:07:27Z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