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Arial" w:hAnsi="Arial"/>
          <w:b/>
          <w:color w:val="1B365D"/>
          <w:sz w:val="32"/>
        </w:rPr>
        <w:t>ANÁLISIS TÉCNICO-JURÍDICO DEL DECRETO 101-97</w:t>
        <w:br/>
        <w:t>(LEY ORGÁNICA DEL PRESUPUESTO DE GUATEMALA)</w:t>
      </w:r>
    </w:p>
    <w:p>
      <w:pPr>
        <w:spacing w:after="360"/>
        <w:jc w:val="center"/>
      </w:pPr>
      <w:r>
        <w:rPr>
          <w:rFonts w:ascii="Arial" w:hAnsi="Arial"/>
          <w:b/>
          <w:color w:val="4B6B94"/>
          <w:sz w:val="24"/>
        </w:rPr>
        <w:t>INTEGRANTE 3: Título II (Capítulos III y IV) y Título III | Artículos 39 al 53 Bis (18 Artículos)</w:t>
      </w:r>
    </w:p>
    <w:p>
      <w:pPr>
        <w:keepNext/>
        <w:spacing w:before="280" w:after="80"/>
        <w:pBdr>
          <w:bottom w:val="single" w:sz="6" w:space="2" w:color="1B365D"/>
        </w:pBdr>
      </w:pPr>
      <w:r>
        <w:rPr>
          <w:rFonts w:ascii="Arial" w:hAnsi="Arial"/>
          <w:b/>
          <w:color w:val="1B365D"/>
          <w:sz w:val="26"/>
        </w:rPr>
        <w:t>ARTÍCULO 39. Modificaciones Presupuestarias</w:t>
      </w:r>
    </w:p>
    <w:p>
      <w:pPr>
        <w:spacing w:after="120" w:line="276" w:lineRule="auto"/>
        <w:jc w:val="both"/>
      </w:pPr>
      <w:r>
        <w:rPr>
          <w:rFonts w:ascii="Arial" w:hAnsi="Arial"/>
          <w:b/>
          <w:color w:val="1B365D"/>
          <w:sz w:val="24"/>
        </w:rPr>
        <w:t xml:space="preserve">a) Interpretación jurídica u operativa: </w:t>
      </w:r>
      <w:r>
        <w:rPr>
          <w:rFonts w:ascii="Arial" w:hAnsi="Arial"/>
          <w:color w:val="333333"/>
          <w:sz w:val="24"/>
        </w:rPr>
        <w:t>Regula la facultad legal y las normas técnicas necesarias para realizar modificaciones, aumentos, disminuciones o transferencias a los créditos presupuestarios aprobados en el Presupuesto General de Ingresos y Egresos. Prohíbe alterar el techo presupuestario global autorizado por el Congreso de la República sin una ley específica aprobada por el mismo Organismo Legislativo.</w:t>
      </w:r>
    </w:p>
    <w:p>
      <w:pPr>
        <w:spacing w:after="120" w:line="276" w:lineRule="auto"/>
        <w:jc w:val="both"/>
      </w:pPr>
      <w:r>
        <w:rPr>
          <w:rFonts w:ascii="Arial" w:hAnsi="Arial"/>
          <w:b/>
          <w:color w:val="1B365D"/>
          <w:sz w:val="24"/>
        </w:rPr>
        <w:t xml:space="preserve">b) Implementación técnica o sistémica: </w:t>
      </w:r>
      <w:r>
        <w:rPr>
          <w:rFonts w:ascii="Arial" w:hAnsi="Arial"/>
          <w:color w:val="333333"/>
          <w:sz w:val="24"/>
        </w:rPr>
        <w:t>En la práctica, se procesa en el Sistema de Contabilidad Integrada (SICOIN) mediante un Comprobante de Modificación Presupuestaria (CO2). SICOIN valida automáticamente si la modificación cuenta con dictamen favorable de la Dirección Técnica del Presupuesto (DTP) y el respaldo del acuerdo gubernativo o ministerial correspondiente.</w:t>
      </w:r>
    </w:p>
    <w:p>
      <w:pPr>
        <w:spacing w:after="120" w:line="276" w:lineRule="auto"/>
        <w:jc w:val="both"/>
      </w:pPr>
      <w:r>
        <w:rPr>
          <w:rFonts w:ascii="Arial" w:hAnsi="Arial"/>
          <w:b/>
          <w:color w:val="1B365D"/>
          <w:sz w:val="24"/>
        </w:rPr>
        <w:t xml:space="preserve">c) Impacto o riesgo en la administración pública: </w:t>
      </w:r>
      <w:r>
        <w:rPr>
          <w:rFonts w:ascii="Arial" w:hAnsi="Arial"/>
          <w:color w:val="333333"/>
          <w:sz w:val="24"/>
        </w:rPr>
        <w:t>La inobservancia o alteración arbitraria de créditos presupuestarios provoca el sobregiro de renglones específicos, generando hallazgos por la Contraloría General de Cuentas (CGC), reparos económicos directos a los cuentadantes y paralización en el pago de compromisos contractuales vigentes.</w:t>
      </w:r>
    </w:p>
    <w:p>
      <w:pPr>
        <w:keepNext/>
        <w:spacing w:before="280" w:after="80"/>
        <w:pBdr>
          <w:bottom w:val="single" w:sz="6" w:space="2" w:color="1B365D"/>
        </w:pBdr>
      </w:pPr>
      <w:r>
        <w:rPr>
          <w:rFonts w:ascii="Arial" w:hAnsi="Arial"/>
          <w:b/>
          <w:color w:val="1B365D"/>
          <w:sz w:val="26"/>
        </w:rPr>
        <w:t>ARTÍCULO 40. Competencia para Modificaciones Presupuestarias</w:t>
      </w:r>
    </w:p>
    <w:p>
      <w:pPr>
        <w:spacing w:after="120" w:line="276" w:lineRule="auto"/>
        <w:jc w:val="both"/>
      </w:pPr>
      <w:r>
        <w:rPr>
          <w:rFonts w:ascii="Arial" w:hAnsi="Arial"/>
          <w:b/>
          <w:color w:val="1B365D"/>
          <w:sz w:val="24"/>
        </w:rPr>
        <w:t xml:space="preserve">a) Interpretación jurídica u operativa: </w:t>
      </w:r>
      <w:r>
        <w:rPr>
          <w:rFonts w:ascii="Arial" w:hAnsi="Arial"/>
          <w:color w:val="333333"/>
          <w:sz w:val="24"/>
        </w:rPr>
        <w:t>Limita y asigna la competencia resolutiva para autorizar reajustes internos a los presupuestos. Prohíbe que autoridades de menor jerarquía realicen transferencias presupuestarias que constitucionalmente le corresponden al Presidente de la República o a los Ministros de Estado.</w:t>
      </w:r>
    </w:p>
    <w:p>
      <w:pPr>
        <w:spacing w:after="120" w:line="276" w:lineRule="auto"/>
        <w:jc w:val="both"/>
      </w:pPr>
      <w:r>
        <w:rPr>
          <w:rFonts w:ascii="Arial" w:hAnsi="Arial"/>
          <w:b/>
          <w:color w:val="1B365D"/>
          <w:sz w:val="24"/>
        </w:rPr>
        <w:t xml:space="preserve">b) Implementación técnica o sistémica: </w:t>
      </w:r>
      <w:r>
        <w:rPr>
          <w:rFonts w:ascii="Arial" w:hAnsi="Arial"/>
          <w:color w:val="333333"/>
          <w:sz w:val="24"/>
        </w:rPr>
        <w:t>Se parametriza en SICOIN con perfiles de usuario y roles de aprobación según el nivel jerárquico. Las transferencias entre grupos de gasto requieren firma digital o aprobación sistémica delegada según la cuantía y el acuerdo normativo que autoriza al Ministerio de Finanzas Públicas (MINFIN).</w:t>
      </w:r>
    </w:p>
    <w:p>
      <w:pPr>
        <w:spacing w:after="120" w:line="276" w:lineRule="auto"/>
        <w:jc w:val="both"/>
      </w:pPr>
      <w:r>
        <w:rPr>
          <w:rFonts w:ascii="Arial" w:hAnsi="Arial"/>
          <w:b/>
          <w:color w:val="1B365D"/>
          <w:sz w:val="24"/>
        </w:rPr>
        <w:t xml:space="preserve">c) Impacto o riesgo en la administración pública: </w:t>
      </w:r>
      <w:r>
        <w:rPr>
          <w:rFonts w:ascii="Arial" w:hAnsi="Arial"/>
          <w:color w:val="333333"/>
          <w:sz w:val="24"/>
        </w:rPr>
        <w:t>Si los funcionarios emiten readecuaciones presupuestarias sin la competencia legal otorgada, se incurre en el delito de abuso de autoridad e incumplimiento de deberes, anulando jurídicamente los pagos efectuados con base en resoluciones ilegales.</w:t>
      </w:r>
    </w:p>
    <w:p>
      <w:pPr>
        <w:keepNext/>
        <w:spacing w:before="280" w:after="80"/>
        <w:pBdr>
          <w:bottom w:val="single" w:sz="6" w:space="2" w:color="1B365D"/>
        </w:pBdr>
      </w:pPr>
      <w:r>
        <w:rPr>
          <w:rFonts w:ascii="Arial" w:hAnsi="Arial"/>
          <w:b/>
          <w:color w:val="1B365D"/>
          <w:sz w:val="26"/>
        </w:rPr>
        <w:t>ARTÍCULO 41. Prohibiciones en las Modificaciones Presupuestarias</w:t>
      </w:r>
    </w:p>
    <w:p>
      <w:pPr>
        <w:spacing w:after="120" w:line="276" w:lineRule="auto"/>
        <w:jc w:val="both"/>
      </w:pPr>
      <w:r>
        <w:rPr>
          <w:rFonts w:ascii="Arial" w:hAnsi="Arial"/>
          <w:b/>
          <w:color w:val="1B365D"/>
          <w:sz w:val="24"/>
        </w:rPr>
        <w:t xml:space="preserve">a) Interpretación jurídica u operativa: </w:t>
      </w:r>
      <w:r>
        <w:rPr>
          <w:rFonts w:ascii="Arial" w:hAnsi="Arial"/>
          <w:color w:val="333333"/>
          <w:sz w:val="24"/>
        </w:rPr>
        <w:t>Prohíbe taxativamente destinar transferencias presupuestarias de gastos de inversión u obras públicas para cubrir gastos de funcionamiento o servicios personales. Garantiza que los fondos destinados al desarrollo económico social no se desvíen hacia la burocracia administrativa.</w:t>
      </w:r>
    </w:p>
    <w:p>
      <w:pPr>
        <w:spacing w:after="120" w:line="276" w:lineRule="auto"/>
        <w:jc w:val="both"/>
      </w:pPr>
      <w:r>
        <w:rPr>
          <w:rFonts w:ascii="Arial" w:hAnsi="Arial"/>
          <w:b/>
          <w:color w:val="1B365D"/>
          <w:sz w:val="24"/>
        </w:rPr>
        <w:t xml:space="preserve">b) Implementación técnica o sistémica: </w:t>
      </w:r>
      <w:r>
        <w:rPr>
          <w:rFonts w:ascii="Arial" w:hAnsi="Arial"/>
          <w:color w:val="333333"/>
          <w:sz w:val="24"/>
        </w:rPr>
        <w:t>El SICOIN bloquea automáticamente las solicitudes de transferencia que intenten mover recursos desde el Grupo 300 (Propiedad, Planta, Equipo e Intangibles) hacia los Grupos 000 (Servicios Personales) o 100 (Servicios No Personales), rechazando la transacción antes de su firma.</w:t>
      </w:r>
    </w:p>
    <w:p>
      <w:pPr>
        <w:spacing w:after="120" w:line="276" w:lineRule="auto"/>
        <w:jc w:val="both"/>
      </w:pPr>
      <w:r>
        <w:rPr>
          <w:rFonts w:ascii="Arial" w:hAnsi="Arial"/>
          <w:b/>
          <w:color w:val="1B365D"/>
          <w:sz w:val="24"/>
        </w:rPr>
        <w:t xml:space="preserve">c) Impacto o riesgo en la administración pública: </w:t>
      </w:r>
      <w:r>
        <w:rPr>
          <w:rFonts w:ascii="Arial" w:hAnsi="Arial"/>
          <w:color w:val="333333"/>
          <w:sz w:val="24"/>
        </w:rPr>
        <w:t>El incumplimiento de esta prohibición fragmenta la inversión pública nacional, degrada la infraestructura física programada y genera responsabilidad penal y civil inmediata sobre la autoridad presupuestaria de la entidad.</w:t>
      </w:r>
    </w:p>
    <w:p>
      <w:pPr>
        <w:keepNext/>
        <w:spacing w:before="280" w:after="80"/>
        <w:pBdr>
          <w:bottom w:val="single" w:sz="6" w:space="2" w:color="1B365D"/>
        </w:pBdr>
      </w:pPr>
      <w:r>
        <w:rPr>
          <w:rFonts w:ascii="Arial" w:hAnsi="Arial"/>
          <w:b/>
          <w:color w:val="1B365D"/>
          <w:sz w:val="26"/>
        </w:rPr>
        <w:t>ARTÍCULO 42. Informes de Modificaciones Presupuestarias</w:t>
      </w:r>
    </w:p>
    <w:p>
      <w:pPr>
        <w:spacing w:after="120" w:line="276" w:lineRule="auto"/>
        <w:jc w:val="both"/>
      </w:pPr>
      <w:r>
        <w:rPr>
          <w:rFonts w:ascii="Arial" w:hAnsi="Arial"/>
          <w:b/>
          <w:color w:val="1B365D"/>
          <w:sz w:val="24"/>
        </w:rPr>
        <w:t xml:space="preserve">a) Interpretación jurídica u operativa: </w:t>
      </w:r>
      <w:r>
        <w:rPr>
          <w:rFonts w:ascii="Arial" w:hAnsi="Arial"/>
          <w:color w:val="333333"/>
          <w:sz w:val="24"/>
        </w:rPr>
        <w:t>Impone la obligación de notificar formalmente al Congreso de la República y a la Contraloría General de Cuentas de todas las modificaciones presupuestarias aprobadas dentro de los plazos reglamentarios. Promueve la transparencia y la fiscalización del gasto en tiempo real.</w:t>
      </w:r>
    </w:p>
    <w:p>
      <w:pPr>
        <w:spacing w:after="120" w:line="276" w:lineRule="auto"/>
        <w:jc w:val="both"/>
      </w:pPr>
      <w:r>
        <w:rPr>
          <w:rFonts w:ascii="Arial" w:hAnsi="Arial"/>
          <w:b/>
          <w:color w:val="1B365D"/>
          <w:sz w:val="24"/>
        </w:rPr>
        <w:t xml:space="preserve">b) Implementación técnica o sistémica: </w:t>
      </w:r>
      <w:r>
        <w:rPr>
          <w:rFonts w:ascii="Arial" w:hAnsi="Arial"/>
          <w:color w:val="333333"/>
          <w:sz w:val="24"/>
        </w:rPr>
        <w:t>SICOIN genera reportes automáticos consolidando los comprobantes CO2 ejecutados. La entidad remite dichos reportes de forma electrónica y física mediante oficios de rendición de cuentas e integración de anexos técnicos.</w:t>
      </w:r>
    </w:p>
    <w:p>
      <w:pPr>
        <w:spacing w:after="120" w:line="276" w:lineRule="auto"/>
        <w:jc w:val="both"/>
      </w:pPr>
      <w:r>
        <w:rPr>
          <w:rFonts w:ascii="Arial" w:hAnsi="Arial"/>
          <w:b/>
          <w:color w:val="1B365D"/>
          <w:sz w:val="24"/>
        </w:rPr>
        <w:t xml:space="preserve">c) Impacto o riesgo en la administración pública: </w:t>
      </w:r>
      <w:r>
        <w:rPr>
          <w:rFonts w:ascii="Arial" w:hAnsi="Arial"/>
          <w:color w:val="333333"/>
          <w:sz w:val="24"/>
        </w:rPr>
        <w:t>El ocultamiento o extemporaneidad en el envío de estos informes obstaculiza la fiscalización ciudadana y parlamentaria, derivando en sanciones administrativas y multas de la Contraloría General de Cuentas sobre las Unidades Administrativas Financieras (UDAF).</w:t>
      </w:r>
    </w:p>
    <w:p>
      <w:pPr>
        <w:keepNext/>
        <w:spacing w:before="280" w:after="80"/>
        <w:pBdr>
          <w:bottom w:val="single" w:sz="6" w:space="2" w:color="1B365D"/>
        </w:pBdr>
      </w:pPr>
      <w:r>
        <w:rPr>
          <w:rFonts w:ascii="Arial" w:hAnsi="Arial"/>
          <w:b/>
          <w:color w:val="1B365D"/>
          <w:sz w:val="26"/>
        </w:rPr>
        <w:t>ARTÍCULO 42 BIS. Transferencias Presupuestarias a Entidades Privadas y de Desarrollo</w:t>
      </w:r>
    </w:p>
    <w:p>
      <w:pPr>
        <w:spacing w:after="120" w:line="276" w:lineRule="auto"/>
        <w:jc w:val="both"/>
      </w:pPr>
      <w:r>
        <w:rPr>
          <w:rFonts w:ascii="Arial" w:hAnsi="Arial"/>
          <w:b/>
          <w:color w:val="1B365D"/>
          <w:sz w:val="24"/>
        </w:rPr>
        <w:t xml:space="preserve">a) Interpretación jurídica u operativa: </w:t>
      </w:r>
      <w:r>
        <w:rPr>
          <w:rFonts w:ascii="Arial" w:hAnsi="Arial"/>
          <w:color w:val="333333"/>
          <w:sz w:val="24"/>
        </w:rPr>
        <w:t>Regula y condiciona el otorgamiento de transferencias de recursos públicos a entidades privadas sin fines de lucro, Organizaciones No Gubernamentales (ONG) o fundaciones. Exige convenios vigentes, planes de trabajo alineados con políticas públicas y fiscalización directa de los fondos.</w:t>
      </w:r>
    </w:p>
    <w:p>
      <w:pPr>
        <w:spacing w:after="120" w:line="276" w:lineRule="auto"/>
        <w:jc w:val="both"/>
      </w:pPr>
      <w:r>
        <w:rPr>
          <w:rFonts w:ascii="Arial" w:hAnsi="Arial"/>
          <w:b/>
          <w:color w:val="1B365D"/>
          <w:sz w:val="24"/>
        </w:rPr>
        <w:t xml:space="preserve">b) Implementación técnica o sistémica: </w:t>
      </w:r>
      <w:r>
        <w:rPr>
          <w:rFonts w:ascii="Arial" w:hAnsi="Arial"/>
          <w:color w:val="333333"/>
          <w:sz w:val="24"/>
        </w:rPr>
        <w:t>Exige el registro obligatorio de la entidad en el Portal de Transferencias de SICOIN, acreditación en Guatecompras y vinculación en el SNIP para proyectos de infraestructura, bloqueando el desembolso si no existe convenio suscrito y registrado.</w:t>
      </w:r>
    </w:p>
    <w:p>
      <w:pPr>
        <w:spacing w:after="120" w:line="276" w:lineRule="auto"/>
        <w:jc w:val="both"/>
      </w:pPr>
      <w:r>
        <w:rPr>
          <w:rFonts w:ascii="Arial" w:hAnsi="Arial"/>
          <w:b/>
          <w:color w:val="1B365D"/>
          <w:sz w:val="24"/>
        </w:rPr>
        <w:t xml:space="preserve">c) Impacto o riesgo en la administración pública: </w:t>
      </w:r>
      <w:r>
        <w:rPr>
          <w:rFonts w:ascii="Arial" w:hAnsi="Arial"/>
          <w:color w:val="333333"/>
          <w:sz w:val="24"/>
        </w:rPr>
        <w:t>Transferir fondos sin cumplir con estas condiciones genera desvío de recursos, malversación, obras fantasma e inhabilitación legal de la entidad beneficiaria, con severas responsabilidades penales para el ejecutor público.</w:t>
      </w:r>
    </w:p>
    <w:p>
      <w:pPr>
        <w:keepNext/>
        <w:spacing w:before="280" w:after="80"/>
        <w:pBdr>
          <w:bottom w:val="single" w:sz="6" w:space="2" w:color="1B365D"/>
        </w:pBdr>
      </w:pPr>
      <w:r>
        <w:rPr>
          <w:rFonts w:ascii="Arial" w:hAnsi="Arial"/>
          <w:b/>
          <w:color w:val="1B365D"/>
          <w:sz w:val="26"/>
        </w:rPr>
        <w:t>ARTÍCULO 43. Evaluaciones de la Ejecución Presupuestaria</w:t>
      </w:r>
    </w:p>
    <w:p>
      <w:pPr>
        <w:spacing w:after="120" w:line="276" w:lineRule="auto"/>
        <w:jc w:val="both"/>
      </w:pPr>
      <w:r>
        <w:rPr>
          <w:rFonts w:ascii="Arial" w:hAnsi="Arial"/>
          <w:b/>
          <w:color w:val="1B365D"/>
          <w:sz w:val="24"/>
        </w:rPr>
        <w:t xml:space="preserve">a) Interpretación jurídica u operativa: </w:t>
      </w:r>
      <w:r>
        <w:rPr>
          <w:rFonts w:ascii="Arial" w:hAnsi="Arial"/>
          <w:color w:val="333333"/>
          <w:sz w:val="24"/>
        </w:rPr>
        <w:t>Norma la medición sistemática del grado de cumplimiento de las metas físicas y financieras de los programas del sector público. Obliga a las instituciones a evaluar de manera periódica si el gasto ejecutado transformó la realidad social según lo planificado.</w:t>
      </w:r>
    </w:p>
    <w:p>
      <w:pPr>
        <w:spacing w:after="120" w:line="276" w:lineRule="auto"/>
        <w:jc w:val="both"/>
      </w:pPr>
      <w:r>
        <w:rPr>
          <w:rFonts w:ascii="Arial" w:hAnsi="Arial"/>
          <w:b/>
          <w:color w:val="1B365D"/>
          <w:sz w:val="24"/>
        </w:rPr>
        <w:t xml:space="preserve">b) Implementación técnica o sistémica: </w:t>
      </w:r>
      <w:r>
        <w:rPr>
          <w:rFonts w:ascii="Arial" w:hAnsi="Arial"/>
          <w:color w:val="333333"/>
          <w:sz w:val="24"/>
        </w:rPr>
        <w:t>Se ejecuta mediante el módulo de Gestión Presupuestaria por Resultados (GPR) en SICOIN y el seguimiento del Plan Operativo Anual (POA) en el sistema SIGES de Segeplán, donde la UDAF reporta la ejecución física vinculada al egreso financiero.</w:t>
      </w:r>
    </w:p>
    <w:p>
      <w:pPr>
        <w:spacing w:after="120" w:line="276" w:lineRule="auto"/>
        <w:jc w:val="both"/>
      </w:pPr>
      <w:r>
        <w:rPr>
          <w:rFonts w:ascii="Arial" w:hAnsi="Arial"/>
          <w:b/>
          <w:color w:val="1B365D"/>
          <w:sz w:val="24"/>
        </w:rPr>
        <w:t xml:space="preserve">c) Impacto o riesgo en la administración pública: </w:t>
      </w:r>
      <w:r>
        <w:rPr>
          <w:rFonts w:ascii="Arial" w:hAnsi="Arial"/>
          <w:color w:val="333333"/>
          <w:sz w:val="24"/>
        </w:rPr>
        <w:t>Prescindir de la evaluación periódica genera un gasto público ineficiente, ejecución financiera sin impacto real en la población (subejecución de obras, baja calidad del gasto) e imposibilidad de corregir desviaciones durante el ejercicio.</w:t>
      </w:r>
    </w:p>
    <w:p>
      <w:pPr>
        <w:keepNext/>
        <w:spacing w:before="280" w:after="80"/>
        <w:pBdr>
          <w:bottom w:val="single" w:sz="6" w:space="2" w:color="1B365D"/>
        </w:pBdr>
      </w:pPr>
      <w:r>
        <w:rPr>
          <w:rFonts w:ascii="Arial" w:hAnsi="Arial"/>
          <w:b/>
          <w:color w:val="1B365D"/>
          <w:sz w:val="26"/>
        </w:rPr>
        <w:t>ARTÍCULO 44. Régimen de Entidades Descentralizadas, Autónomas y Municipales</w:t>
      </w:r>
    </w:p>
    <w:p>
      <w:pPr>
        <w:spacing w:after="120" w:line="276" w:lineRule="auto"/>
        <w:jc w:val="both"/>
      </w:pPr>
      <w:r>
        <w:rPr>
          <w:rFonts w:ascii="Arial" w:hAnsi="Arial"/>
          <w:b/>
          <w:color w:val="1B365D"/>
          <w:sz w:val="24"/>
        </w:rPr>
        <w:t xml:space="preserve">a) Interpretación jurídica u operativa: </w:t>
      </w:r>
      <w:r>
        <w:rPr>
          <w:rFonts w:ascii="Arial" w:hAnsi="Arial"/>
          <w:color w:val="333333"/>
          <w:sz w:val="24"/>
        </w:rPr>
        <w:t>Obliga a las entidades descentralizadas y autónomas (USAC, Municipalidades, Codedes, etc.) a someterse a los principios de la Ley Orgánica del Presupuesto, respetando su autonomía constitucional pero sujetándose al marco general de armonización presupuestaria y financiera del Estado.</w:t>
      </w:r>
    </w:p>
    <w:p>
      <w:pPr>
        <w:spacing w:after="120" w:line="276" w:lineRule="auto"/>
        <w:jc w:val="both"/>
      </w:pPr>
      <w:r>
        <w:rPr>
          <w:rFonts w:ascii="Arial" w:hAnsi="Arial"/>
          <w:b/>
          <w:color w:val="1B365D"/>
          <w:sz w:val="24"/>
        </w:rPr>
        <w:t xml:space="preserve">b) Implementación técnica o sistémica: </w:t>
      </w:r>
      <w:r>
        <w:rPr>
          <w:rFonts w:ascii="Arial" w:hAnsi="Arial"/>
          <w:color w:val="333333"/>
          <w:sz w:val="24"/>
        </w:rPr>
        <w:t>Estas entidades se integran operativamente al SICOIN DESCENTRALIZADO o SICOIN GL (Gobiernos Locales), consolidando sus presupuestos en el sistema presupuestario nacional operado por el Ministerio de Finanzas Públicas.</w:t>
      </w:r>
    </w:p>
    <w:p>
      <w:pPr>
        <w:spacing w:after="120" w:line="276" w:lineRule="auto"/>
        <w:jc w:val="both"/>
      </w:pPr>
      <w:r>
        <w:rPr>
          <w:rFonts w:ascii="Arial" w:hAnsi="Arial"/>
          <w:b/>
          <w:color w:val="1B365D"/>
          <w:sz w:val="24"/>
        </w:rPr>
        <w:t xml:space="preserve">c) Impacto o riesgo en la administración pública: </w:t>
      </w:r>
      <w:r>
        <w:rPr>
          <w:rFonts w:ascii="Arial" w:hAnsi="Arial"/>
          <w:color w:val="333333"/>
          <w:sz w:val="24"/>
        </w:rPr>
        <w:t>Operar fuera del marco legal presupuestario fomenta la opacidad en la gestión de recursos propios, desarticulación de la contabilidad nacional e imposibilidad de auditoría en la consolidación del gasto general del Estado.</w:t>
      </w:r>
    </w:p>
    <w:p>
      <w:pPr>
        <w:keepNext/>
        <w:spacing w:before="280" w:after="80"/>
        <w:pBdr>
          <w:bottom w:val="single" w:sz="6" w:space="2" w:color="1B365D"/>
        </w:pBdr>
      </w:pPr>
      <w:r>
        <w:rPr>
          <w:rFonts w:ascii="Arial" w:hAnsi="Arial"/>
          <w:b/>
          <w:color w:val="1B365D"/>
          <w:sz w:val="26"/>
        </w:rPr>
        <w:t>ARTÍCULO 45. Aprobación Presupuestaria de Entidades Descentralizadas</w:t>
      </w:r>
    </w:p>
    <w:p>
      <w:pPr>
        <w:spacing w:after="120" w:line="276" w:lineRule="auto"/>
        <w:jc w:val="both"/>
      </w:pPr>
      <w:r>
        <w:rPr>
          <w:rFonts w:ascii="Arial" w:hAnsi="Arial"/>
          <w:b/>
          <w:color w:val="1B365D"/>
          <w:sz w:val="24"/>
        </w:rPr>
        <w:t xml:space="preserve">a) Interpretación jurídica u operativa: </w:t>
      </w:r>
      <w:r>
        <w:rPr>
          <w:rFonts w:ascii="Arial" w:hAnsi="Arial"/>
          <w:color w:val="333333"/>
          <w:sz w:val="24"/>
        </w:rPr>
        <w:t>Determina el procedimiento y la instancia legal competente para autorizar formalmente los presupuestos anuales de las entidades descentralizadas y autónomas. Prohíbe que estas entidades inicien el ejercicio fiscal con presupuestos que no hayan sido aprobados según su normativa orgánica o por el Organismo Ejecutivo.</w:t>
      </w:r>
    </w:p>
    <w:p>
      <w:pPr>
        <w:spacing w:after="120" w:line="276" w:lineRule="auto"/>
        <w:jc w:val="both"/>
      </w:pPr>
      <w:r>
        <w:rPr>
          <w:rFonts w:ascii="Arial" w:hAnsi="Arial"/>
          <w:b/>
          <w:color w:val="1B365D"/>
          <w:sz w:val="24"/>
        </w:rPr>
        <w:t xml:space="preserve">b) Implementación técnica o sistémica: </w:t>
      </w:r>
      <w:r>
        <w:rPr>
          <w:rFonts w:ascii="Arial" w:hAnsi="Arial"/>
          <w:color w:val="333333"/>
          <w:sz w:val="24"/>
        </w:rPr>
        <w:t>Los órganos de dirección aprueban sus anteproyectos y los cargan en SICOIN; el MINFIN emite el dictamen técnico previo a la emisión del Acuerdo Gubernativo correspondiente para la habilitación total de sus cuotas de compromiso y devengado.</w:t>
      </w:r>
    </w:p>
    <w:p>
      <w:pPr>
        <w:spacing w:after="120" w:line="276" w:lineRule="auto"/>
        <w:jc w:val="both"/>
      </w:pPr>
      <w:r>
        <w:rPr>
          <w:rFonts w:ascii="Arial" w:hAnsi="Arial"/>
          <w:b/>
          <w:color w:val="1B365D"/>
          <w:sz w:val="24"/>
        </w:rPr>
        <w:t xml:space="preserve">c) Impacto o riesgo en la administración pública: </w:t>
      </w:r>
      <w:r>
        <w:rPr>
          <w:rFonts w:ascii="Arial" w:hAnsi="Arial"/>
          <w:color w:val="333333"/>
          <w:sz w:val="24"/>
        </w:rPr>
        <w:t>Ejecutar recursos con un presupuesto no aprobado formalmente vicia de nulidad los actos de contratación y pago, deviniendo en ilegal análisis contable y la imposición de responsabilidades civiles y penales a los firmantes.</w:t>
      </w:r>
    </w:p>
    <w:p>
      <w:pPr>
        <w:keepNext/>
        <w:spacing w:before="280" w:after="80"/>
        <w:pBdr>
          <w:bottom w:val="single" w:sz="6" w:space="2" w:color="1B365D"/>
        </w:pBdr>
      </w:pPr>
      <w:r>
        <w:rPr>
          <w:rFonts w:ascii="Arial" w:hAnsi="Arial"/>
          <w:b/>
          <w:color w:val="1B365D"/>
          <w:sz w:val="26"/>
        </w:rPr>
        <w:t>ARTÍCULO 45 BIS. Desembolsos a Consejos Departamentales de Desarrollo (CODEDES) y Municipalidades</w:t>
      </w:r>
    </w:p>
    <w:p>
      <w:pPr>
        <w:spacing w:after="120" w:line="276" w:lineRule="auto"/>
        <w:jc w:val="both"/>
      </w:pPr>
      <w:r>
        <w:rPr>
          <w:rFonts w:ascii="Arial" w:hAnsi="Arial"/>
          <w:b/>
          <w:color w:val="1B365D"/>
          <w:sz w:val="24"/>
        </w:rPr>
        <w:t xml:space="preserve">a) Interpretación jurídica u operativa: </w:t>
      </w:r>
      <w:r>
        <w:rPr>
          <w:rFonts w:ascii="Arial" w:hAnsi="Arial"/>
          <w:color w:val="333333"/>
          <w:sz w:val="24"/>
        </w:rPr>
        <w:t>Norma los requisitos y condiciones indispensables para realizar aportes o transferencias de capital a los Consejos Departamentales de Desarrollo y Municipalidades. Condiciona el desembolso de recursos a la verificación del avance físico real de las obras y el cumplimiento de la Ley de Contrataciones del Estado.</w:t>
      </w:r>
    </w:p>
    <w:p>
      <w:pPr>
        <w:spacing w:after="120" w:line="276" w:lineRule="auto"/>
        <w:jc w:val="both"/>
      </w:pPr>
      <w:r>
        <w:rPr>
          <w:rFonts w:ascii="Arial" w:hAnsi="Arial"/>
          <w:b/>
          <w:color w:val="1B365D"/>
          <w:sz w:val="24"/>
        </w:rPr>
        <w:t xml:space="preserve">b) Implementación técnica o sistémica: </w:t>
      </w:r>
      <w:r>
        <w:rPr>
          <w:rFonts w:ascii="Arial" w:hAnsi="Arial"/>
          <w:color w:val="333333"/>
          <w:sz w:val="24"/>
        </w:rPr>
        <w:t>Requiere la vinculación trilateral entre el Sistema Nacional de Inversión Pública (SNIPgt), Guatecompras (publicación de contratos) y SICOIN. Los desembolsos se habilitan en la Cuenta Única del Tesoro (CUT) previa carga de las estimaciones físicas aprobadas por el supervisor.</w:t>
      </w:r>
    </w:p>
    <w:p>
      <w:pPr>
        <w:spacing w:after="120" w:line="276" w:lineRule="auto"/>
        <w:jc w:val="both"/>
      </w:pPr>
      <w:r>
        <w:rPr>
          <w:rFonts w:ascii="Arial" w:hAnsi="Arial"/>
          <w:b/>
          <w:color w:val="1B365D"/>
          <w:sz w:val="24"/>
        </w:rPr>
        <w:t xml:space="preserve">c) Impacto o riesgo en la administración pública: </w:t>
      </w:r>
      <w:r>
        <w:rPr>
          <w:rFonts w:ascii="Arial" w:hAnsi="Arial"/>
          <w:color w:val="333333"/>
          <w:sz w:val="24"/>
        </w:rPr>
        <w:t>Entregar desembolsos sin la comprobación del avance físico produce pagos por obras no ejecutadas, abandono de proyectos comunitarios, malversación de fondos y paralización del desarrollo social de los departamentos.</w:t>
      </w:r>
    </w:p>
    <w:p>
      <w:pPr>
        <w:keepNext/>
        <w:spacing w:before="280" w:after="80"/>
        <w:pBdr>
          <w:bottom w:val="single" w:sz="6" w:space="2" w:color="1B365D"/>
        </w:pBdr>
      </w:pPr>
      <w:r>
        <w:rPr>
          <w:rFonts w:ascii="Arial" w:hAnsi="Arial"/>
          <w:b/>
          <w:color w:val="1B365D"/>
          <w:sz w:val="26"/>
        </w:rPr>
        <w:t>ARTÍCULO 46. Modificaciones Presupuestarias de Entidades Descentralizadas y Autónomas</w:t>
      </w:r>
    </w:p>
    <w:p>
      <w:pPr>
        <w:spacing w:after="120" w:line="276" w:lineRule="auto"/>
        <w:jc w:val="both"/>
      </w:pPr>
      <w:r>
        <w:rPr>
          <w:rFonts w:ascii="Arial" w:hAnsi="Arial"/>
          <w:b/>
          <w:color w:val="1B365D"/>
          <w:sz w:val="24"/>
        </w:rPr>
        <w:t xml:space="preserve">a) Interpretación jurídica u operativa: </w:t>
      </w:r>
      <w:r>
        <w:rPr>
          <w:rFonts w:ascii="Arial" w:hAnsi="Arial"/>
          <w:color w:val="333333"/>
          <w:sz w:val="24"/>
        </w:rPr>
        <w:t>Regula el margen de maniobra de las máximas autoridades de entes descentralizados y autónomos para modificar sus presupuestos internos. Establece los límites en los cuales pueden decidir de forma autónoma y cuándo deben solicitar autorización al Ministerio de Finanzas o al Organismo Ejecutivo.</w:t>
      </w:r>
    </w:p>
    <w:p>
      <w:pPr>
        <w:spacing w:after="120" w:line="276" w:lineRule="auto"/>
        <w:jc w:val="both"/>
      </w:pPr>
      <w:r>
        <w:rPr>
          <w:rFonts w:ascii="Arial" w:hAnsi="Arial"/>
          <w:b/>
          <w:color w:val="1B365D"/>
          <w:sz w:val="24"/>
        </w:rPr>
        <w:t xml:space="preserve">b) Implementación técnica o sistémica: </w:t>
      </w:r>
      <w:r>
        <w:rPr>
          <w:rFonts w:ascii="Arial" w:hAnsi="Arial"/>
          <w:color w:val="333333"/>
          <w:sz w:val="24"/>
        </w:rPr>
        <w:t>SICOIN DESCENTRALIZADO valida la jerarquía de las modificaciones. Si la reprogramación afecta destinos de inversión o transferencias del Gobierno Central, el sistema bloquea el registro hasta anexar la resolución legal de la instancia superior.</w:t>
      </w:r>
    </w:p>
    <w:p>
      <w:pPr>
        <w:spacing w:after="120" w:line="276" w:lineRule="auto"/>
        <w:jc w:val="both"/>
      </w:pPr>
      <w:r>
        <w:rPr>
          <w:rFonts w:ascii="Arial" w:hAnsi="Arial"/>
          <w:b/>
          <w:color w:val="1B365D"/>
          <w:sz w:val="24"/>
        </w:rPr>
        <w:t xml:space="preserve">c) Impacto o riesgo en la administración pública: </w:t>
      </w:r>
      <w:r>
        <w:rPr>
          <w:rFonts w:ascii="Arial" w:hAnsi="Arial"/>
          <w:color w:val="333333"/>
          <w:sz w:val="24"/>
        </w:rPr>
        <w:t>Alterar la estructura programática sin las autorizaciones normadas distorsiona los objetivos institucionales de la entidad descentralizada y genera hallazgos pecuniarios graves por parte del ente fiscalizador.</w:t>
      </w:r>
    </w:p>
    <w:p>
      <w:pPr>
        <w:keepNext/>
        <w:spacing w:before="280" w:after="80"/>
        <w:pBdr>
          <w:bottom w:val="single" w:sz="6" w:space="2" w:color="1B365D"/>
        </w:pBdr>
      </w:pPr>
      <w:r>
        <w:rPr>
          <w:rFonts w:ascii="Arial" w:hAnsi="Arial"/>
          <w:b/>
          <w:color w:val="1B365D"/>
          <w:sz w:val="26"/>
        </w:rPr>
        <w:t>ARTÍCULO 47. Informes Presupuestarios de Entidades Descentralizadas y Autónomas</w:t>
      </w:r>
    </w:p>
    <w:p>
      <w:pPr>
        <w:spacing w:after="120" w:line="276" w:lineRule="auto"/>
        <w:jc w:val="both"/>
      </w:pPr>
      <w:r>
        <w:rPr>
          <w:rFonts w:ascii="Arial" w:hAnsi="Arial"/>
          <w:b/>
          <w:color w:val="1B365D"/>
          <w:sz w:val="24"/>
        </w:rPr>
        <w:t xml:space="preserve">a) Interpretación jurídica u operativa: </w:t>
      </w:r>
      <w:r>
        <w:rPr>
          <w:rFonts w:ascii="Arial" w:hAnsi="Arial"/>
          <w:color w:val="333333"/>
          <w:sz w:val="24"/>
        </w:rPr>
        <w:t>Impone la obligación a las universidades públicas, municipalidades y descentralizadas de remitir periódicamente al MINFIN, al Congreso y a la CGC la información detallada sobre la ejecución física y financiera de su presupuesto.</w:t>
      </w:r>
    </w:p>
    <w:p>
      <w:pPr>
        <w:spacing w:after="120" w:line="276" w:lineRule="auto"/>
        <w:jc w:val="both"/>
      </w:pPr>
      <w:r>
        <w:rPr>
          <w:rFonts w:ascii="Arial" w:hAnsi="Arial"/>
          <w:b/>
          <w:color w:val="1B365D"/>
          <w:sz w:val="24"/>
        </w:rPr>
        <w:t xml:space="preserve">b) Implementación técnica o sistémica: </w:t>
      </w:r>
      <w:r>
        <w:rPr>
          <w:rFonts w:ascii="Arial" w:hAnsi="Arial"/>
          <w:color w:val="333333"/>
          <w:sz w:val="24"/>
        </w:rPr>
        <w:t>La entrega se formaliza mediante la carga periódica de datos en el portal web institucional y el envío automatizado de reportes consolidados desde SICOIN GL o SICOIN Descentralizado.</w:t>
      </w:r>
    </w:p>
    <w:p>
      <w:pPr>
        <w:spacing w:after="120" w:line="276" w:lineRule="auto"/>
        <w:jc w:val="both"/>
      </w:pPr>
      <w:r>
        <w:rPr>
          <w:rFonts w:ascii="Arial" w:hAnsi="Arial"/>
          <w:b/>
          <w:color w:val="1B365D"/>
          <w:sz w:val="24"/>
        </w:rPr>
        <w:t xml:space="preserve">c) Impacto o riesgo en la administración pública: </w:t>
      </w:r>
      <w:r>
        <w:rPr>
          <w:rFonts w:ascii="Arial" w:hAnsi="Arial"/>
          <w:color w:val="333333"/>
          <w:sz w:val="24"/>
        </w:rPr>
        <w:t>El ocultamiento o demora de los informes rompe el principio de transparencia fiscal, limita el control parlamentario e impide la consolidación veraz de las finanzas del Sector Público no Financiero.</w:t>
      </w:r>
    </w:p>
    <w:p>
      <w:pPr>
        <w:keepNext/>
        <w:spacing w:before="280" w:after="80"/>
        <w:pBdr>
          <w:bottom w:val="single" w:sz="6" w:space="2" w:color="1B365D"/>
        </w:pBdr>
      </w:pPr>
      <w:r>
        <w:rPr>
          <w:rFonts w:ascii="Arial" w:hAnsi="Arial"/>
          <w:b/>
          <w:color w:val="1B365D"/>
          <w:sz w:val="26"/>
        </w:rPr>
        <w:t>ARTÍCULO 48. Sistema de Contabilidad Integrada (SICOIN)</w:t>
      </w:r>
    </w:p>
    <w:p>
      <w:pPr>
        <w:spacing w:after="120" w:line="276" w:lineRule="auto"/>
        <w:jc w:val="both"/>
      </w:pPr>
      <w:r>
        <w:rPr>
          <w:rFonts w:ascii="Arial" w:hAnsi="Arial"/>
          <w:b/>
          <w:color w:val="1B365D"/>
          <w:sz w:val="24"/>
        </w:rPr>
        <w:t xml:space="preserve">a) Interpretación jurídica u operativa: </w:t>
      </w:r>
      <w:r>
        <w:rPr>
          <w:rFonts w:ascii="Arial" w:hAnsi="Arial"/>
          <w:color w:val="333333"/>
          <w:sz w:val="24"/>
        </w:rPr>
        <w:t>Establece la creación, rectoría y obligatorio cumplimiento del Sistema de Contabilidad Integrada (SICOIN) como el módulo informático central del Estado. Ordena que la ejecución del presupuesto, la gestión de tesorería y el registro contable se realicen de manera única, uniforme e integrada en un solo sistema.</w:t>
      </w:r>
    </w:p>
    <w:p>
      <w:pPr>
        <w:spacing w:after="120" w:line="276" w:lineRule="auto"/>
        <w:jc w:val="both"/>
      </w:pPr>
      <w:r>
        <w:rPr>
          <w:rFonts w:ascii="Arial" w:hAnsi="Arial"/>
          <w:b/>
          <w:color w:val="1B365D"/>
          <w:sz w:val="24"/>
        </w:rPr>
        <w:t xml:space="preserve">b) Implementación técnica o sistémica: </w:t>
      </w:r>
      <w:r>
        <w:rPr>
          <w:rFonts w:ascii="Arial" w:hAnsi="Arial"/>
          <w:color w:val="333333"/>
          <w:sz w:val="24"/>
        </w:rPr>
        <w:t>SICOIN procesa todas las transacciones financieras del Estado a través del registro único de datos. Al ingresar un compromiso o devengado, el sistema afecta simultáneamente la contabilidad patrimonial, el presupuesto y la disponibilidad de caja en la Cuenta Única del Tesoro (CUT).</w:t>
      </w:r>
    </w:p>
    <w:p>
      <w:pPr>
        <w:spacing w:after="120" w:line="276" w:lineRule="auto"/>
        <w:jc w:val="both"/>
      </w:pPr>
      <w:r>
        <w:rPr>
          <w:rFonts w:ascii="Arial" w:hAnsi="Arial"/>
          <w:b/>
          <w:color w:val="1B365D"/>
          <w:sz w:val="24"/>
        </w:rPr>
        <w:t xml:space="preserve">c) Impacto o riesgo en la administración pública: </w:t>
      </w:r>
      <w:r>
        <w:rPr>
          <w:rFonts w:ascii="Arial" w:hAnsi="Arial"/>
          <w:color w:val="333333"/>
          <w:sz w:val="24"/>
        </w:rPr>
        <w:t>Intentar registrar transacciones financieras fuera del SICOIN (sistemas paralelos o 'cajas negras') constituye una flagrante violación legal que anula los actos administrativos y da origen a acusaciones por fraude y malversación.</w:t>
      </w:r>
    </w:p>
    <w:p>
      <w:pPr>
        <w:keepNext/>
        <w:spacing w:before="280" w:after="80"/>
        <w:pBdr>
          <w:bottom w:val="single" w:sz="6" w:space="2" w:color="1B365D"/>
        </w:pBdr>
      </w:pPr>
      <w:r>
        <w:rPr>
          <w:rFonts w:ascii="Arial" w:hAnsi="Arial"/>
          <w:b/>
          <w:color w:val="1B365D"/>
          <w:sz w:val="26"/>
        </w:rPr>
        <w:t>ARTÍCULO 49. Principios de la Contabilidad Integrada</w:t>
      </w:r>
    </w:p>
    <w:p>
      <w:pPr>
        <w:spacing w:after="120" w:line="276" w:lineRule="auto"/>
        <w:jc w:val="both"/>
      </w:pPr>
      <w:r>
        <w:rPr>
          <w:rFonts w:ascii="Arial" w:hAnsi="Arial"/>
          <w:b/>
          <w:color w:val="1B365D"/>
          <w:sz w:val="24"/>
        </w:rPr>
        <w:t xml:space="preserve">a) Interpretación jurídica u operativa: </w:t>
      </w:r>
      <w:r>
        <w:rPr>
          <w:rFonts w:ascii="Arial" w:hAnsi="Arial"/>
          <w:color w:val="333333"/>
          <w:sz w:val="24"/>
        </w:rPr>
        <w:t>Define las bases técnicas y conceptuales del sistema contable estatal: devengado, universalidad, registro único y oportunidad de la información. Prohíbe llevar contabilidades paralelas o asientos contables sin respaldo documental o financiero.</w:t>
      </w:r>
    </w:p>
    <w:p>
      <w:pPr>
        <w:spacing w:after="120" w:line="276" w:lineRule="auto"/>
        <w:jc w:val="both"/>
      </w:pPr>
      <w:r>
        <w:rPr>
          <w:rFonts w:ascii="Arial" w:hAnsi="Arial"/>
          <w:b/>
          <w:color w:val="1B365D"/>
          <w:sz w:val="24"/>
        </w:rPr>
        <w:t xml:space="preserve">b) Implementación técnica o sistémica: </w:t>
      </w:r>
      <w:r>
        <w:rPr>
          <w:rFonts w:ascii="Arial" w:hAnsi="Arial"/>
          <w:color w:val="333333"/>
          <w:sz w:val="24"/>
        </w:rPr>
        <w:t>Se configura mediante la Matriz de Conversión del SICOIN, la cual traduce automáticamente cada evento presupuestario (comprometido, devengado, pagado) en asientos contables normados por el Manual de Contabilidad Gubernamental.</w:t>
      </w:r>
    </w:p>
    <w:p>
      <w:pPr>
        <w:spacing w:after="120" w:line="276" w:lineRule="auto"/>
        <w:jc w:val="both"/>
      </w:pPr>
      <w:r>
        <w:rPr>
          <w:rFonts w:ascii="Arial" w:hAnsi="Arial"/>
          <w:b/>
          <w:color w:val="1B365D"/>
          <w:sz w:val="24"/>
        </w:rPr>
        <w:t xml:space="preserve">c) Impacto o riesgo en la administración pública: </w:t>
      </w:r>
      <w:r>
        <w:rPr>
          <w:rFonts w:ascii="Arial" w:hAnsi="Arial"/>
          <w:color w:val="333333"/>
          <w:sz w:val="24"/>
        </w:rPr>
        <w:t>La vulneración de los principios contables distorsiona el balance general del Estado, invalida la liquidación presupuestaria anual y oculta la situación real de la deuda pública o los activos institucionales.</w:t>
      </w:r>
    </w:p>
    <w:p>
      <w:pPr>
        <w:keepNext/>
        <w:spacing w:before="280" w:after="80"/>
        <w:pBdr>
          <w:bottom w:val="single" w:sz="6" w:space="2" w:color="1B365D"/>
        </w:pBdr>
      </w:pPr>
      <w:r>
        <w:rPr>
          <w:rFonts w:ascii="Arial" w:hAnsi="Arial"/>
          <w:b/>
          <w:color w:val="1B365D"/>
          <w:sz w:val="26"/>
        </w:rPr>
        <w:t>ARTÍCULO 50. Ámbito de Aplicación del SICOIN</w:t>
      </w:r>
    </w:p>
    <w:p>
      <w:pPr>
        <w:spacing w:after="120" w:line="276" w:lineRule="auto"/>
        <w:jc w:val="both"/>
      </w:pPr>
      <w:r>
        <w:rPr>
          <w:rFonts w:ascii="Arial" w:hAnsi="Arial"/>
          <w:b/>
          <w:color w:val="1B365D"/>
          <w:sz w:val="24"/>
        </w:rPr>
        <w:t xml:space="preserve">a) Interpretación jurídica u operativa: </w:t>
      </w:r>
      <w:r>
        <w:rPr>
          <w:rFonts w:ascii="Arial" w:hAnsi="Arial"/>
          <w:color w:val="333333"/>
          <w:sz w:val="24"/>
        </w:rPr>
        <w:t>Dictamina la cobertura obligatoria del SICOIN a todos los organismos del Estado (Legislativo, Ejecutivo, Judicial), entidades descentralizadas, autónomas, empresas públicas y municipalidades. Ningún ente que administre fondos públicos queda exento de su uso.</w:t>
      </w:r>
    </w:p>
    <w:p>
      <w:pPr>
        <w:spacing w:after="120" w:line="276" w:lineRule="auto"/>
        <w:jc w:val="both"/>
      </w:pPr>
      <w:r>
        <w:rPr>
          <w:rFonts w:ascii="Arial" w:hAnsi="Arial"/>
          <w:b/>
          <w:color w:val="1B365D"/>
          <w:sz w:val="24"/>
        </w:rPr>
        <w:t xml:space="preserve">b) Implementación técnica o sistémica: </w:t>
      </w:r>
      <w:r>
        <w:rPr>
          <w:rFonts w:ascii="Arial" w:hAnsi="Arial"/>
          <w:color w:val="333333"/>
          <w:sz w:val="24"/>
        </w:rPr>
        <w:t>El Ministerio de Finanzas Públicas asigna conectividad, credenciales y perfiles institucionales a todas las UDAF del país para la operación del SICOIN en sus distintas variantes (SICOIN WEB, SICOIN DESCENTRALIZADO, SICOIN GL).</w:t>
      </w:r>
    </w:p>
    <w:p>
      <w:pPr>
        <w:spacing w:after="120" w:line="276" w:lineRule="auto"/>
        <w:jc w:val="both"/>
      </w:pPr>
      <w:r>
        <w:rPr>
          <w:rFonts w:ascii="Arial" w:hAnsi="Arial"/>
          <w:b/>
          <w:color w:val="1B365D"/>
          <w:sz w:val="24"/>
        </w:rPr>
        <w:t xml:space="preserve">c) Impacto o riesgo en la administración pública: </w:t>
      </w:r>
      <w:r>
        <w:rPr>
          <w:rFonts w:ascii="Arial" w:hAnsi="Arial"/>
          <w:color w:val="333333"/>
          <w:sz w:val="24"/>
        </w:rPr>
        <w:t>La negativa u omisión de un ente público de operar dentro del SICOIN destruye la integridad del sistema fiscal guatemalteco, imposibilita la auditoría consolidada y provoca la suspensión inmediata de la asignación de cuotas financieras.</w:t>
      </w:r>
    </w:p>
    <w:p>
      <w:pPr>
        <w:keepNext/>
        <w:spacing w:before="280" w:after="80"/>
        <w:pBdr>
          <w:bottom w:val="single" w:sz="6" w:space="2" w:color="1B365D"/>
        </w:pBdr>
      </w:pPr>
      <w:r>
        <w:rPr>
          <w:rFonts w:ascii="Arial" w:hAnsi="Arial"/>
          <w:b/>
          <w:color w:val="1B365D"/>
          <w:sz w:val="26"/>
        </w:rPr>
        <w:t>ARTÍCULO 51. Registro de Pagos e Ingresos (Momento Contable)</w:t>
      </w:r>
    </w:p>
    <w:p>
      <w:pPr>
        <w:spacing w:after="120" w:line="276" w:lineRule="auto"/>
        <w:jc w:val="both"/>
      </w:pPr>
      <w:r>
        <w:rPr>
          <w:rFonts w:ascii="Arial" w:hAnsi="Arial"/>
          <w:b/>
          <w:color w:val="1B365D"/>
          <w:sz w:val="24"/>
        </w:rPr>
        <w:t xml:space="preserve">a) Interpretación jurídica u operativa: </w:t>
      </w:r>
      <w:r>
        <w:rPr>
          <w:rFonts w:ascii="Arial" w:hAnsi="Arial"/>
          <w:color w:val="333333"/>
          <w:sz w:val="24"/>
        </w:rPr>
        <w:t>Establece los momentos conceptuales para la afectación presupuestaria y contable, imponiendo la regla del devengado para el gasto y lo percibido para el ingreso. Prohíbe contabilizar compromisos futuros como devengados sin la entrega real de bienes o servicios.</w:t>
      </w:r>
    </w:p>
    <w:p>
      <w:pPr>
        <w:spacing w:after="120" w:line="276" w:lineRule="auto"/>
        <w:jc w:val="both"/>
      </w:pPr>
      <w:r>
        <w:rPr>
          <w:rFonts w:ascii="Arial" w:hAnsi="Arial"/>
          <w:b/>
          <w:color w:val="1B365D"/>
          <w:sz w:val="24"/>
        </w:rPr>
        <w:t xml:space="preserve">b) Implementación técnica o sistémica: </w:t>
      </w:r>
      <w:r>
        <w:rPr>
          <w:rFonts w:ascii="Arial" w:hAnsi="Arial"/>
          <w:color w:val="333333"/>
          <w:sz w:val="24"/>
        </w:rPr>
        <w:t>En SICOIN, el usuario debe emitir un Comprobante Único de Registro (CUR) de Devengado adjuntando la factura electrónica (FEL), la acta de recepción e ingreso a almacén; solo tras esto se habilita el CUR de Pago que liquida la obligación.</w:t>
      </w:r>
    </w:p>
    <w:p>
      <w:pPr>
        <w:spacing w:after="120" w:line="276" w:lineRule="auto"/>
        <w:jc w:val="both"/>
      </w:pPr>
      <w:r>
        <w:rPr>
          <w:rFonts w:ascii="Arial" w:hAnsi="Arial"/>
          <w:b/>
          <w:color w:val="1B365D"/>
          <w:sz w:val="24"/>
        </w:rPr>
        <w:t xml:space="preserve">c) Impacto o riesgo en la administración pública: </w:t>
      </w:r>
      <w:r>
        <w:rPr>
          <w:rFonts w:ascii="Arial" w:hAnsi="Arial"/>
          <w:color w:val="333333"/>
          <w:sz w:val="24"/>
        </w:rPr>
        <w:t>Registrar un devengado simulado o previo a la recepción real de los bienes genera pagos indebidos, estafa al Fisco y da lugar a responsabilidades civiles y penales sobre los guardalmacenes y directores financieros.</w:t>
      </w:r>
    </w:p>
    <w:p>
      <w:pPr>
        <w:keepNext/>
        <w:spacing w:before="280" w:after="80"/>
        <w:pBdr>
          <w:bottom w:val="single" w:sz="6" w:space="2" w:color="1B365D"/>
        </w:pBdr>
      </w:pPr>
      <w:r>
        <w:rPr>
          <w:rFonts w:ascii="Arial" w:hAnsi="Arial"/>
          <w:b/>
          <w:color w:val="1B365D"/>
          <w:sz w:val="26"/>
        </w:rPr>
        <w:t>ARTÍCULO 52. Contabilidad del Patrimonio del Estado</w:t>
      </w:r>
    </w:p>
    <w:p>
      <w:pPr>
        <w:spacing w:after="120" w:line="276" w:lineRule="auto"/>
        <w:jc w:val="both"/>
      </w:pPr>
      <w:r>
        <w:rPr>
          <w:rFonts w:ascii="Arial" w:hAnsi="Arial"/>
          <w:b/>
          <w:color w:val="1B365D"/>
          <w:sz w:val="24"/>
        </w:rPr>
        <w:t xml:space="preserve">a) Interpretación jurídica u operativa: </w:t>
      </w:r>
      <w:r>
        <w:rPr>
          <w:rFonts w:ascii="Arial" w:hAnsi="Arial"/>
          <w:color w:val="333333"/>
          <w:sz w:val="24"/>
        </w:rPr>
        <w:t>Obliga al registro integral, valoración y depreciación de todos los bienes muebles e inmuebles, derechos, activos y pasivos que conforman el patrimonio de las entidades públicas. Prohíbe la omisión de inventarios institucionales.</w:t>
      </w:r>
    </w:p>
    <w:p>
      <w:pPr>
        <w:spacing w:after="120" w:line="276" w:lineRule="auto"/>
        <w:jc w:val="both"/>
      </w:pPr>
      <w:r>
        <w:rPr>
          <w:rFonts w:ascii="Arial" w:hAnsi="Arial"/>
          <w:b/>
          <w:color w:val="1B365D"/>
          <w:sz w:val="24"/>
        </w:rPr>
        <w:t xml:space="preserve">b) Implementación técnica o sistémica: </w:t>
      </w:r>
      <w:r>
        <w:rPr>
          <w:rFonts w:ascii="Arial" w:hAnsi="Arial"/>
          <w:color w:val="333333"/>
          <w:sz w:val="24"/>
        </w:rPr>
        <w:t>Se opera interconectando el módulo de Inventarios (SICOIN/SIGES) con el Módulo de Contabilidad Patrimonial. Toda compra de activo fijo registrada en SICOIN incrementa automáticamente la cuenta patrimonial del balance estatal.</w:t>
      </w:r>
    </w:p>
    <w:p>
      <w:pPr>
        <w:spacing w:after="120" w:line="276" w:lineRule="auto"/>
        <w:jc w:val="both"/>
      </w:pPr>
      <w:r>
        <w:rPr>
          <w:rFonts w:ascii="Arial" w:hAnsi="Arial"/>
          <w:b/>
          <w:color w:val="1B365D"/>
          <w:sz w:val="24"/>
        </w:rPr>
        <w:t xml:space="preserve">c) Impacto o riesgo en la administración pública: </w:t>
      </w:r>
      <w:r>
        <w:rPr>
          <w:rFonts w:ascii="Arial" w:hAnsi="Arial"/>
          <w:color w:val="333333"/>
          <w:sz w:val="24"/>
        </w:rPr>
        <w:t>El descuido en el registro patrimonial ocasiona pérdida de bienes públicos, sustracción no detectada de activos, balances financieros irreales e imposibilidad de determinar el valor financiero real del Estado.</w:t>
      </w:r>
    </w:p>
    <w:p>
      <w:pPr>
        <w:keepNext/>
        <w:spacing w:before="280" w:after="80"/>
        <w:pBdr>
          <w:bottom w:val="single" w:sz="6" w:space="2" w:color="1B365D"/>
        </w:pBdr>
      </w:pPr>
      <w:r>
        <w:rPr>
          <w:rFonts w:ascii="Arial" w:hAnsi="Arial"/>
          <w:b/>
          <w:color w:val="1B365D"/>
          <w:sz w:val="26"/>
        </w:rPr>
        <w:t>ARTÍCULO 53. Rendición de Cuentas e Informes Contables</w:t>
      </w:r>
    </w:p>
    <w:p>
      <w:pPr>
        <w:spacing w:after="120" w:line="276" w:lineRule="auto"/>
        <w:jc w:val="both"/>
      </w:pPr>
      <w:r>
        <w:rPr>
          <w:rFonts w:ascii="Arial" w:hAnsi="Arial"/>
          <w:b/>
          <w:color w:val="1B365D"/>
          <w:sz w:val="24"/>
        </w:rPr>
        <w:t xml:space="preserve">a) Interpretación jurídica u operativa: </w:t>
      </w:r>
      <w:r>
        <w:rPr>
          <w:rFonts w:ascii="Arial" w:hAnsi="Arial"/>
          <w:color w:val="333333"/>
          <w:sz w:val="24"/>
        </w:rPr>
        <w:t>Impone a todas las entidades del sector público la responsabilidad de estructurar y presentar los estados financieros anuales, el balance de ejecución presupuestaria y las memorias de labores para la liquidación del presupuesto general ante la Contraloría y el Congreso.</w:t>
      </w:r>
    </w:p>
    <w:p>
      <w:pPr>
        <w:spacing w:after="120" w:line="276" w:lineRule="auto"/>
        <w:jc w:val="both"/>
      </w:pPr>
      <w:r>
        <w:rPr>
          <w:rFonts w:ascii="Arial" w:hAnsi="Arial"/>
          <w:b/>
          <w:color w:val="1B365D"/>
          <w:sz w:val="24"/>
        </w:rPr>
        <w:t xml:space="preserve">b) Implementación técnica o sistémica: </w:t>
      </w:r>
      <w:r>
        <w:rPr>
          <w:rFonts w:ascii="Arial" w:hAnsi="Arial"/>
          <w:color w:val="333333"/>
          <w:sz w:val="24"/>
        </w:rPr>
        <w:t>El SICOIN emite el Cierre Contable y Presupuestario Anual al 31 de diciembre. Las UDAF consolidan los anexos, firmas de responsabilidad y los transmiten a la Dirección de Contabilidad del Estado (DCE) del MINFIN.</w:t>
      </w:r>
    </w:p>
    <w:p>
      <w:pPr>
        <w:spacing w:after="120" w:line="276" w:lineRule="auto"/>
        <w:jc w:val="both"/>
      </w:pPr>
      <w:r>
        <w:rPr>
          <w:rFonts w:ascii="Arial" w:hAnsi="Arial"/>
          <w:b/>
          <w:color w:val="1B365D"/>
          <w:sz w:val="24"/>
        </w:rPr>
        <w:t xml:space="preserve">c) Impacto o riesgo en la administración pública: </w:t>
      </w:r>
      <w:r>
        <w:rPr>
          <w:rFonts w:ascii="Arial" w:hAnsi="Arial"/>
          <w:color w:val="333333"/>
          <w:sz w:val="24"/>
        </w:rPr>
        <w:t>Incumplir con el cierre y la rendición de cuentas dentro de los plazos constitucionales vicia el proceso de liquidación presupuestaria, derivando en juicios de cuentas, destitución de los cuentadantes e inhabilitación para el ejercicio de cargos públicos.</w:t>
      </w:r>
    </w:p>
    <w:p>
      <w:pPr>
        <w:keepNext/>
        <w:spacing w:before="280" w:after="80"/>
        <w:pBdr>
          <w:bottom w:val="single" w:sz="6" w:space="2" w:color="1B365D"/>
        </w:pBdr>
      </w:pPr>
      <w:r>
        <w:rPr>
          <w:rFonts w:ascii="Arial" w:hAnsi="Arial"/>
          <w:b/>
          <w:color w:val="1B365D"/>
          <w:sz w:val="26"/>
        </w:rPr>
        <w:t>ARTÍCULO 53 BIS. Módulo de Información Financiera y Consolidación</w:t>
      </w:r>
    </w:p>
    <w:p>
      <w:pPr>
        <w:spacing w:after="120" w:line="276" w:lineRule="auto"/>
        <w:jc w:val="both"/>
      </w:pPr>
      <w:r>
        <w:rPr>
          <w:rFonts w:ascii="Arial" w:hAnsi="Arial"/>
          <w:b/>
          <w:color w:val="1B365D"/>
          <w:sz w:val="24"/>
        </w:rPr>
        <w:t xml:space="preserve">a) Interpretación jurídica u operativa: </w:t>
      </w:r>
      <w:r>
        <w:rPr>
          <w:rFonts w:ascii="Arial" w:hAnsi="Arial"/>
          <w:color w:val="333333"/>
          <w:sz w:val="24"/>
        </w:rPr>
        <w:t>Regula el mecanismo sistémico para centralizar y consolidar la información financiera de todo el Sector Público (incluidas las Municipalidades y la USAC). Exige estandarización de datos para la toma de decisiones macrofiscales y de política pública.</w:t>
      </w:r>
    </w:p>
    <w:p>
      <w:pPr>
        <w:spacing w:after="120" w:line="276" w:lineRule="auto"/>
        <w:jc w:val="both"/>
      </w:pPr>
      <w:r>
        <w:rPr>
          <w:rFonts w:ascii="Arial" w:hAnsi="Arial"/>
          <w:b/>
          <w:color w:val="1B365D"/>
          <w:sz w:val="24"/>
        </w:rPr>
        <w:t xml:space="preserve">b) Implementación técnica o sistémica: </w:t>
      </w:r>
      <w:r>
        <w:rPr>
          <w:rFonts w:ascii="Arial" w:hAnsi="Arial"/>
          <w:color w:val="333333"/>
          <w:sz w:val="24"/>
        </w:rPr>
        <w:t>Se concreta mediante los algoritmos de consolidación automática en SICOIN que eliminan la doble contabilización por transferencias interinstitucionales y producen los Estados Financieros Consolidados del Sector Público.</w:t>
      </w:r>
    </w:p>
    <w:p>
      <w:pPr>
        <w:spacing w:after="120" w:line="276" w:lineRule="auto"/>
        <w:jc w:val="both"/>
      </w:pPr>
      <w:r>
        <w:rPr>
          <w:rFonts w:ascii="Arial" w:hAnsi="Arial"/>
          <w:b/>
          <w:color w:val="1B365D"/>
          <w:sz w:val="24"/>
        </w:rPr>
        <w:t xml:space="preserve">c) Impacto o riesgo en la administración pública: </w:t>
      </w:r>
      <w:r>
        <w:rPr>
          <w:rFonts w:ascii="Arial" w:hAnsi="Arial"/>
          <w:color w:val="333333"/>
          <w:sz w:val="24"/>
        </w:rPr>
        <w:t>La falta de consolidación exacta de la información fiscal distorsiona los indicadores de déficit fiscal, la medición de la deuda pública y los informes macroeconómicos nacionales emitidos ante organismos internacionales.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