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Arial" w:cs="Arial" w:eastAsia="Arial" w:hAnsi="Arial"/>
          <w:b/>
          <w:bCs/>
          <w:sz w:val="32"/>
          <w:szCs w:val="32"/>
        </w:rPr>
        <w:t xml:space="preserve">Ley Orgánica del Presupuesto (Decreto 101-97)</w:t>
      </w:r>
    </w:p>
    <w:p>
      <w:pPr>
        <w:spacing w:after="60"/>
        <w:jc w:val="center"/>
      </w:pPr>
      <w:r>
        <w:rPr>
          <w:rFonts w:ascii="Arial" w:cs="Arial" w:eastAsia="Arial" w:hAnsi="Arial"/>
          <w:b/>
          <w:bCs/>
          <w:sz w:val="24"/>
          <w:szCs w:val="24"/>
        </w:rPr>
        <w:t xml:space="preserve">Títulos VI y VII y Reglamentos</w:t>
      </w:r>
    </w:p>
    <w:p>
      <w:pPr>
        <w:spacing w:after="240"/>
        <w:jc w:val="center"/>
      </w:pPr>
      <w:r>
        <w:rPr>
          <w:rFonts w:ascii="Arial" w:cs="Arial" w:eastAsia="Arial" w:hAnsi="Arial"/>
          <w:sz w:val="24"/>
          <w:szCs w:val="24"/>
        </w:rPr>
        <w:t xml:space="preserve">Integrante 5 · Artículos 75 al 82 (incluye 80 Bis) y temas obligatorios de la guía</w:t>
      </w:r>
    </w:p>
    <w:p>
      <w:pPr>
        <w:pStyle w:val="Heading1"/>
        <w:keepNext/>
        <w:spacing w:after="120" w:before="240"/>
      </w:pPr>
      <w:r>
        <w:rPr>
          <w:rFonts w:ascii="Arial" w:cs="Arial" w:eastAsia="Arial" w:hAnsi="Arial"/>
          <w:b/>
          <w:bCs/>
          <w:sz w:val="26"/>
          <w:szCs w:val="26"/>
        </w:rPr>
        <w:t xml:space="preserve">TÍTULO VI. Régimen de Remuneración de Funcionarios y Empleados Públicos</w:t>
      </w:r>
    </w:p>
    <w:p>
      <w:pPr>
        <w:pStyle w:val="Heading2"/>
        <w:keepNext/>
        <w:spacing w:after="120" w:before="240"/>
      </w:pPr>
      <w:r>
        <w:rPr>
          <w:rFonts w:ascii="Arial" w:cs="Arial" w:eastAsia="Arial" w:hAnsi="Arial"/>
          <w:b/>
          <w:bCs/>
          <w:sz w:val="24"/>
          <w:szCs w:val="24"/>
        </w:rPr>
        <w:t xml:space="preserve">Artículo 75. Remuneraciones de empleados y funcionarios públicos</w:t>
      </w:r>
    </w:p>
    <w:p>
      <w:pPr>
        <w:spacing w:after="160" w:line="276"/>
        <w:jc w:val="both"/>
      </w:pPr>
      <w:r>
        <w:rPr>
          <w:rFonts w:ascii="Arial" w:cs="Arial" w:eastAsia="Arial" w:hAnsi="Arial"/>
          <w:sz w:val="24"/>
          <w:szCs w:val="24"/>
        </w:rPr>
        <w:t xml:space="preserve">El artículo 75 establece que las remuneraciones de los funcionarios y empleados públicos se fijan conforme a la Ley de Salarios de la Administración Pública y demás disposiciones atinentes, salvo que el organismo o la entidad descentralizada cuente con leyes específicas sobre la materia. Además, impone una obligación anual: elaborar un presupuesto analítico con el detalle de los puestos y sus respectivas remuneraciones.</w:t>
      </w:r>
    </w:p>
    <w:p>
      <w:pPr>
        <w:spacing w:after="160" w:line="276"/>
        <w:jc w:val="both"/>
      </w:pPr>
      <w:r>
        <w:rPr>
          <w:rFonts w:ascii="Arial" w:cs="Arial" w:eastAsia="Arial" w:hAnsi="Arial"/>
          <w:sz w:val="24"/>
          <w:szCs w:val="24"/>
        </w:rPr>
        <w:t xml:space="preserve">En la práctica, los puestos y sueldos se presupuestan en el grupo de gasto 0, Servicios Personales, y se ejecutan mediante las nóminas de cada institución, registradas en SICOIN. Cualquier creación, incremento o disminución de asignaciones en ese grupo requiere acuerdo del Ministerio de Finanzas Públicas, conforme al artículo 32 de la misma ley, lo que concentra el control del gasto en personal.</w:t>
      </w:r>
    </w:p>
    <w:p>
      <w:pPr>
        <w:spacing w:after="160" w:line="276"/>
        <w:jc w:val="both"/>
      </w:pPr>
      <w:r>
        <w:rPr>
          <w:rFonts w:ascii="Arial" w:cs="Arial" w:eastAsia="Arial" w:hAnsi="Arial"/>
          <w:sz w:val="24"/>
          <w:szCs w:val="24"/>
        </w:rPr>
        <w:t xml:space="preserve">Si las remuneraciones se fijan al margen de la ley o sin presupuesto analítico, se generan plazas sin respaldo financiero, pluses discrecionales y desigualdades salariales. Esto presiona el gasto de funcionamiento, que es rígido, y reduce los recursos disponibles para inversión.</w:t>
      </w:r>
    </w:p>
    <w:p>
      <w:pPr>
        <w:pStyle w:val="Heading2"/>
        <w:keepNext/>
        <w:spacing w:after="120" w:before="240"/>
      </w:pPr>
      <w:r>
        <w:rPr>
          <w:rFonts w:ascii="Arial" w:cs="Arial" w:eastAsia="Arial" w:hAnsi="Arial"/>
          <w:b/>
          <w:bCs/>
          <w:sz w:val="24"/>
          <w:szCs w:val="24"/>
        </w:rPr>
        <w:t xml:space="preserve">Artículo 76. Retribuciones y servicios no devengados</w:t>
      </w:r>
    </w:p>
    <w:p>
      <w:pPr>
        <w:spacing w:after="160" w:line="276"/>
        <w:jc w:val="both"/>
      </w:pPr>
      <w:r>
        <w:rPr>
          <w:rFonts w:ascii="Arial" w:cs="Arial" w:eastAsia="Arial" w:hAnsi="Arial"/>
          <w:sz w:val="24"/>
          <w:szCs w:val="24"/>
        </w:rPr>
        <w:t xml:space="preserve">Este artículo prohíbe reconocer retribuciones personales no devengadas y servicios que no se hayan prestado. Aunque es breve, consagra un principio esencial del gasto público: solo puede pagarse lo que corresponde a un servicio efectivamente recibido o a un trabajo realmente desempeñado, por lo que el pago sin contraprestación carece de sustento legal.</w:t>
      </w:r>
    </w:p>
    <w:p>
      <w:pPr>
        <w:spacing w:after="160" w:line="276"/>
        <w:jc w:val="both"/>
      </w:pPr>
      <w:r>
        <w:rPr>
          <w:rFonts w:ascii="Arial" w:cs="Arial" w:eastAsia="Arial" w:hAnsi="Arial"/>
          <w:sz w:val="24"/>
          <w:szCs w:val="24"/>
        </w:rPr>
        <w:t xml:space="preserve">Operativamente, la norma se aplica mediante los controles de asistencia, los informes de actividades y la recepción conforme de bienes y servicios, requisito que el reglamento exige para considerar devengado un gasto. Solo con esa verificación la unidad de administración financiera registra el devengado y ordena el pago a través de la Tesorería Nacional.</w:t>
      </w:r>
    </w:p>
    <w:p>
      <w:pPr>
        <w:spacing w:after="160" w:line="276"/>
        <w:jc w:val="both"/>
      </w:pPr>
      <w:r>
        <w:rPr>
          <w:rFonts w:ascii="Arial" w:cs="Arial" w:eastAsia="Arial" w:hAnsi="Arial"/>
          <w:sz w:val="24"/>
          <w:szCs w:val="24"/>
        </w:rPr>
        <w:t xml:space="preserve">Su incumplimiento da lugar a pagos por plazas sin funciones reales o por servicios no prestados, con perjuicio patrimonial para el Estado. Además de la obligación de reintegrar lo pagado, el funcionario responsable queda expuesto a las sanciones del artículo 80 Bis y a posibles responsabilidades penales.</w:t>
      </w:r>
    </w:p>
    <w:p>
      <w:pPr>
        <w:pStyle w:val="Heading2"/>
        <w:keepNext/>
        <w:spacing w:after="120" w:before="240"/>
      </w:pPr>
      <w:r>
        <w:rPr>
          <w:rFonts w:ascii="Arial" w:cs="Arial" w:eastAsia="Arial" w:hAnsi="Arial"/>
          <w:b/>
          <w:bCs/>
          <w:sz w:val="24"/>
          <w:szCs w:val="24"/>
        </w:rPr>
        <w:t xml:space="preserve">Artículo 77. Gastos de representación</w:t>
      </w:r>
    </w:p>
    <w:p>
      <w:pPr>
        <w:spacing w:after="160" w:line="276"/>
        <w:jc w:val="both"/>
      </w:pPr>
      <w:r>
        <w:rPr>
          <w:rFonts w:ascii="Arial" w:cs="Arial" w:eastAsia="Arial" w:hAnsi="Arial"/>
          <w:sz w:val="24"/>
          <w:szCs w:val="24"/>
        </w:rPr>
        <w:t xml:space="preserve">El artículo 77 permite asignar gastos de representación únicamente a un listado taxativo de dieciséis categorías de funcionarios, entre ellas el Presidente y Vicepresidente de la República, los magistrados de las altas cortes, los diputados, los ministros y viceministros, el Procurador General de la Nación, el Fiscal General, los gobernadores departamentales, el personal diplomático en el exterior y los alcaldes municipales. La palabra únicamente excluye cualquier ampliación por analogía.</w:t>
      </w:r>
    </w:p>
    <w:p>
      <w:pPr>
        <w:spacing w:after="160" w:line="276"/>
        <w:jc w:val="both"/>
      </w:pPr>
      <w:r>
        <w:rPr>
          <w:rFonts w:ascii="Arial" w:cs="Arial" w:eastAsia="Arial" w:hAnsi="Arial"/>
          <w:sz w:val="24"/>
          <w:szCs w:val="24"/>
        </w:rPr>
        <w:t xml:space="preserve">El reglamento complementa la norma: la asignación y modificación de estos gastos debe aprobarse por resolución del Ministerio de Finanzas Públicas, cuando corresponda. En la práctica, se presupuestan en el renglón respectivo y se registran en SICOIN, de modo que su monto es verificable por los órganos de control y por la ciudadanía.</w:t>
      </w:r>
    </w:p>
    <w:p>
      <w:pPr>
        <w:spacing w:after="160" w:line="276"/>
        <w:jc w:val="both"/>
      </w:pPr>
      <w:r>
        <w:rPr>
          <w:rFonts w:ascii="Arial" w:cs="Arial" w:eastAsia="Arial" w:hAnsi="Arial"/>
          <w:sz w:val="24"/>
          <w:szCs w:val="24"/>
        </w:rPr>
        <w:t xml:space="preserve">Si se otorgan a cargos no autorizados o sin la resolución correspondiente, se crean privilegios sin base legal que encarecen la administración. El riesgo se agrava cuando no existe una justificación documentada, pues se confunden con sobresueldos encubiertos.</w:t>
      </w:r>
    </w:p>
    <w:p>
      <w:pPr>
        <w:pStyle w:val="Heading2"/>
        <w:keepNext/>
        <w:spacing w:after="120" w:before="240"/>
      </w:pPr>
      <w:r>
        <w:rPr>
          <w:rFonts w:ascii="Arial" w:cs="Arial" w:eastAsia="Arial" w:hAnsi="Arial"/>
          <w:b/>
          <w:bCs/>
          <w:sz w:val="24"/>
          <w:szCs w:val="24"/>
        </w:rPr>
        <w:t xml:space="preserve">Artículo 78. Dietas</w:t>
      </w:r>
    </w:p>
    <w:p>
      <w:pPr>
        <w:spacing w:after="160" w:line="276"/>
        <w:jc w:val="both"/>
      </w:pPr>
      <w:r>
        <w:rPr>
          <w:rFonts w:ascii="Arial" w:cs="Arial" w:eastAsia="Arial" w:hAnsi="Arial"/>
          <w:sz w:val="24"/>
          <w:szCs w:val="24"/>
        </w:rPr>
        <w:t xml:space="preserve">El artículo 78 dispone que las dietas que el Estado y sus entidades descentralizadas y autónomas pagan por formar parte de juntas directivas, consejos, cuerpos consultivos, comisiones y comités asesores no se consideran salario ni implican desempeñar más de un cargo público. Su fijación debe autorizarse por acuerdo gubernativo, previo dictamen favorable del Ministerio de Finanzas Públicas, salvo en entidades con plena autonomía, que deben informar al Ministerio.</w:t>
      </w:r>
    </w:p>
    <w:p>
      <w:pPr>
        <w:spacing w:after="160" w:line="276"/>
        <w:jc w:val="both"/>
      </w:pPr>
      <w:r>
        <w:rPr>
          <w:rFonts w:ascii="Arial" w:cs="Arial" w:eastAsia="Arial" w:hAnsi="Arial"/>
          <w:sz w:val="24"/>
          <w:szCs w:val="24"/>
        </w:rPr>
        <w:t xml:space="preserve">En la práctica, el monto y la periodicidad de las dietas se fijan mediante el acuerdo correspondiente y su pago se registra en SICOIN, con la información pública exigida por la normativa de acceso a la información. La excepción para entidades autónomas se cumple remitiendo al Ministerio la fijación aprobada por su propio órgano de dirección.</w:t>
      </w:r>
    </w:p>
    <w:p>
      <w:pPr>
        <w:spacing w:after="160" w:line="276"/>
        <w:jc w:val="both"/>
      </w:pPr>
      <w:r>
        <w:rPr>
          <w:rFonts w:ascii="Arial" w:cs="Arial" w:eastAsia="Arial" w:hAnsi="Arial"/>
          <w:sz w:val="24"/>
          <w:szCs w:val="24"/>
        </w:rPr>
        <w:t xml:space="preserve">Sin este control, las dietas pueden multiplicarse mediante la integración de numerosos comités o convertirse en ingresos habituales de ciertos funcionarios. La falta de informe al Ministerio en las entidades autónomas reduce la visibilidad del gasto y dificulta detectar acumulaciones indebidas.</w:t>
      </w:r>
    </w:p>
    <w:p>
      <w:pPr>
        <w:pStyle w:val="Heading1"/>
        <w:keepNext/>
        <w:spacing w:after="120" w:before="240"/>
      </w:pPr>
      <w:r>
        <w:rPr>
          <w:rFonts w:ascii="Arial" w:cs="Arial" w:eastAsia="Arial" w:hAnsi="Arial"/>
          <w:b/>
          <w:bCs/>
          <w:sz w:val="26"/>
          <w:szCs w:val="26"/>
        </w:rPr>
        <w:t xml:space="preserve">TÍTULO VII. Disposiciones Finales y Complementarias</w:t>
      </w:r>
    </w:p>
    <w:p>
      <w:pPr>
        <w:pStyle w:val="Heading2"/>
        <w:keepNext/>
        <w:spacing w:after="120" w:before="240"/>
      </w:pPr>
      <w:r>
        <w:rPr>
          <w:rFonts w:ascii="Arial" w:cs="Arial" w:eastAsia="Arial" w:hAnsi="Arial"/>
          <w:b/>
          <w:bCs/>
          <w:sz w:val="24"/>
          <w:szCs w:val="24"/>
        </w:rPr>
        <w:t xml:space="preserve">Artículo 79. Fianza de funcionarios y empleados</w:t>
      </w:r>
    </w:p>
    <w:p>
      <w:pPr>
        <w:spacing w:after="160" w:line="276"/>
        <w:jc w:val="both"/>
      </w:pPr>
      <w:r>
        <w:rPr>
          <w:rFonts w:ascii="Arial" w:cs="Arial" w:eastAsia="Arial" w:hAnsi="Arial"/>
          <w:sz w:val="24"/>
          <w:szCs w:val="24"/>
        </w:rPr>
        <w:t xml:space="preserve">El artículo 79 obliga a los funcionarios y empleados públicos que recauden, administren o custodien bienes, fondos o valores del Estado y de sus entidades descentralizadas y autónomas a caucionar su responsabilidad mediante fianza, de conformidad con la ley respectiva. Es una garantía patrimonial que respalda la gestión de quienes manejan recursos públicos.</w:t>
      </w:r>
    </w:p>
    <w:p>
      <w:pPr>
        <w:spacing w:after="160" w:line="276"/>
        <w:jc w:val="both"/>
      </w:pPr>
      <w:r>
        <w:rPr>
          <w:rFonts w:ascii="Arial" w:cs="Arial" w:eastAsia="Arial" w:hAnsi="Arial"/>
          <w:sz w:val="24"/>
          <w:szCs w:val="24"/>
        </w:rPr>
        <w:t xml:space="preserve">En la práctica institucional, las unidades de recursos humanos y de administración financiera deben verificar que la fianza esté vigente antes de que el servidor asuma funciones de manejo de fondos, y la Contraloría General de Cuentas puede constatarlo en sus auditorías. La garantía se relaciona con tesoreros, encargados de almacén, fondos rotativos y cajas receptoras.</w:t>
      </w:r>
    </w:p>
    <w:p>
      <w:pPr>
        <w:spacing w:after="160" w:line="276"/>
        <w:jc w:val="both"/>
      </w:pPr>
      <w:r>
        <w:rPr>
          <w:rFonts w:ascii="Arial" w:cs="Arial" w:eastAsia="Arial" w:hAnsi="Arial"/>
          <w:sz w:val="24"/>
          <w:szCs w:val="24"/>
        </w:rPr>
        <w:t xml:space="preserve">Si el servidor no está afianzado, el Estado queda sin respaldo para recuperar pérdidas por faltantes o malversación, y la responsabilidad recae también sobre quien permitió el manejo de fondos sin garantía. El resultado es mayor exposición del patrimonio público frente al fraude.</w:t>
      </w:r>
    </w:p>
    <w:p>
      <w:pPr>
        <w:pStyle w:val="Heading2"/>
        <w:keepNext/>
        <w:spacing w:after="120" w:before="240"/>
      </w:pPr>
      <w:r>
        <w:rPr>
          <w:rFonts w:ascii="Arial" w:cs="Arial" w:eastAsia="Arial" w:hAnsi="Arial"/>
          <w:b/>
          <w:bCs/>
          <w:sz w:val="24"/>
          <w:szCs w:val="24"/>
        </w:rPr>
        <w:t xml:space="preserve">Artículo 80. Normas de los órganos rectores</w:t>
      </w:r>
    </w:p>
    <w:p>
      <w:pPr>
        <w:spacing w:after="160" w:line="276"/>
        <w:jc w:val="both"/>
      </w:pPr>
      <w:r>
        <w:rPr>
          <w:rFonts w:ascii="Arial" w:cs="Arial" w:eastAsia="Arial" w:hAnsi="Arial"/>
          <w:sz w:val="24"/>
          <w:szCs w:val="24"/>
        </w:rPr>
        <w:t xml:space="preserve">El artículo 80 obliga a los órganos rectores de los sistemas regulados por la ley a dictar las disposiciones necesarias para facilitar su cumplimiento. Reconoce que la ley fija reglas generales que requieren desarrollo técnico, por lo que impone a quienes ejercen la rectoría el deber de emitir normas complementarias, y no solo la facultad de hacerlo.</w:t>
      </w:r>
    </w:p>
    <w:p>
      <w:pPr>
        <w:spacing w:after="160" w:line="276"/>
        <w:jc w:val="both"/>
      </w:pPr>
      <w:r>
        <w:rPr>
          <w:rFonts w:ascii="Arial" w:cs="Arial" w:eastAsia="Arial" w:hAnsi="Arial"/>
          <w:sz w:val="24"/>
          <w:szCs w:val="24"/>
        </w:rPr>
        <w:t xml:space="preserve">Esta obligación se concreta en los manuales de uso obligatorio previstos en el reglamento, como los de clasificaciones presupuestarias, formulación, ejecución, modificaciones e inversión pública, además de acuerdos ministeriales y circulares. El Ministerio de Finanzas Públicas actúa por medio de la Dirección Técnica del Presupuesto, la Dirección de Contabilidad del Estado, la Tesorería Nacional y la Dirección de Crédito Público.</w:t>
      </w:r>
    </w:p>
    <w:p>
      <w:pPr>
        <w:spacing w:after="160" w:line="276"/>
        <w:jc w:val="both"/>
      </w:pPr>
      <w:r>
        <w:rPr>
          <w:rFonts w:ascii="Arial" w:cs="Arial" w:eastAsia="Arial" w:hAnsi="Arial"/>
          <w:sz w:val="24"/>
          <w:szCs w:val="24"/>
        </w:rPr>
        <w:t xml:space="preserve">Cuando los órganos rectores no emiten o actualizan sus normas, las instituciones aplican criterios dispares y aparecen vacíos que se usan para justificar incumplimientos. La falta de reglas claras debilita la uniformidad del sistema y la posibilidad de exigir responsabilidades.</w:t>
      </w:r>
    </w:p>
    <w:p>
      <w:pPr>
        <w:pStyle w:val="Heading2"/>
        <w:keepNext/>
        <w:spacing w:after="120" w:before="240"/>
      </w:pPr>
      <w:r>
        <w:rPr>
          <w:rFonts w:ascii="Arial" w:cs="Arial" w:eastAsia="Arial" w:hAnsi="Arial"/>
          <w:b/>
          <w:bCs/>
          <w:sz w:val="24"/>
          <w:szCs w:val="24"/>
        </w:rPr>
        <w:t xml:space="preserve">Artículo 80 Bis. Sanciones</w:t>
      </w:r>
    </w:p>
    <w:p>
      <w:pPr>
        <w:spacing w:after="160" w:line="276"/>
        <w:jc w:val="both"/>
      </w:pPr>
      <w:r>
        <w:rPr>
          <w:rFonts w:ascii="Arial" w:cs="Arial" w:eastAsia="Arial" w:hAnsi="Arial"/>
          <w:sz w:val="24"/>
          <w:szCs w:val="24"/>
        </w:rPr>
        <w:t xml:space="preserve">El artículo 80 Bis establece un régimen sancionatorio por incumplir la ley. El funcionario que sin causa justificada incumpla sus obligaciones es sancionado con una multa del cinco por ciento de la asignación pendiente de programar. Quien adquiera compromisos o devengue gastos sin saldo de crédito, o desvíe los créditos de su finalidad, debe pagar el monto total del exceso o del gasto desviado. Además, la Contraloría General de Cuentas aplica sanciones pecuniarias por infracciones administrativas, sin perjuicio de las responsabilidades penales o civiles.</w:t>
      </w:r>
    </w:p>
    <w:p>
      <w:pPr>
        <w:spacing w:after="160" w:line="276"/>
        <w:jc w:val="both"/>
      </w:pPr>
      <w:r>
        <w:rPr>
          <w:rFonts w:ascii="Arial" w:cs="Arial" w:eastAsia="Arial" w:hAnsi="Arial"/>
          <w:sz w:val="24"/>
          <w:szCs w:val="24"/>
        </w:rPr>
        <w:t xml:space="preserve">En la práctica, la Contraloría determina las infracciones en sus auditorías y aplica el procedimiento, el cobro, la reincidencia y los recursos conforme a su ley orgánica. Los montos cobrados se asignan como fondos privativos de la Contraloría. Cabe señalar que la Corte de Constitucionalidad declaró inconstitucionales frases de este artículo, según las notas 5 y 6 del texto oficial (sentencia del 20 de agosto de 2015, expediente 2810-2014), por lo que debe consultarse el texto vigente.</w:t>
      </w:r>
    </w:p>
    <w:p>
      <w:pPr>
        <w:spacing w:after="160" w:line="276"/>
        <w:jc w:val="both"/>
      </w:pPr>
      <w:r>
        <w:rPr>
          <w:rFonts w:ascii="Arial" w:cs="Arial" w:eastAsia="Arial" w:hAnsi="Arial"/>
          <w:sz w:val="24"/>
          <w:szCs w:val="24"/>
        </w:rPr>
        <w:t xml:space="preserve">Sin sanciones efectivas, las obligaciones de la ley pierden fuerza y se normaliza el compromiso de gastos sin cobertura o el uso de créditos para fines distintos. Por el contrario, una aplicación consistente de las sanciones refuerza la disciplina fiscal y la rendición de cuentas.</w:t>
      </w:r>
    </w:p>
    <w:p>
      <w:pPr>
        <w:pStyle w:val="Heading2"/>
        <w:keepNext/>
        <w:spacing w:after="120" w:before="240"/>
      </w:pPr>
      <w:r>
        <w:rPr>
          <w:rFonts w:ascii="Arial" w:cs="Arial" w:eastAsia="Arial" w:hAnsi="Arial"/>
          <w:b/>
          <w:bCs/>
          <w:sz w:val="24"/>
          <w:szCs w:val="24"/>
        </w:rPr>
        <w:t xml:space="preserve">Artículo 81. Derogatoria</w:t>
      </w:r>
    </w:p>
    <w:p>
      <w:pPr>
        <w:spacing w:after="160" w:line="276"/>
        <w:jc w:val="both"/>
      </w:pPr>
      <w:r>
        <w:rPr>
          <w:rFonts w:ascii="Arial" w:cs="Arial" w:eastAsia="Arial" w:hAnsi="Arial"/>
          <w:sz w:val="24"/>
          <w:szCs w:val="24"/>
        </w:rPr>
        <w:t xml:space="preserve">El artículo 81 deroga el Decreto Ley 2-86, del 6 de enero de 1986, y toda disposición legal y reglamentaria que se oponga a la nueva ley. Con ello, la Ley Orgánica del Presupuesto sustituye a la norma presupuestaria anterior y se convierte en la base única del régimen presupuestario, evitando que coexistan reglas incompatibles.</w:t>
      </w:r>
    </w:p>
    <w:p>
      <w:pPr>
        <w:spacing w:after="160" w:line="276"/>
        <w:jc w:val="both"/>
      </w:pPr>
      <w:r>
        <w:rPr>
          <w:rFonts w:ascii="Arial" w:cs="Arial" w:eastAsia="Arial" w:hAnsi="Arial"/>
          <w:sz w:val="24"/>
          <w:szCs w:val="24"/>
        </w:rPr>
        <w:t xml:space="preserve">En la práctica, la derogatoria obligó a adecuar los reglamentos, manuales y procedimientos de las instituciones al nuevo modelo de sistemas integrados. Mantener normas contrarias a la ley genera conflictos de aplicación, pues prevalece la disposición de rango superior, y expone a las entidades a observaciones de los órganos de control.</w:t>
      </w:r>
    </w:p>
    <w:p>
      <w:pPr>
        <w:pStyle w:val="Heading2"/>
        <w:keepNext/>
        <w:spacing w:after="120" w:before="240"/>
      </w:pPr>
      <w:r>
        <w:rPr>
          <w:rFonts w:ascii="Arial" w:cs="Arial" w:eastAsia="Arial" w:hAnsi="Arial"/>
          <w:b/>
          <w:bCs/>
          <w:sz w:val="24"/>
          <w:szCs w:val="24"/>
        </w:rPr>
        <w:t xml:space="preserve">Artículo 82. Vigencia</w:t>
      </w:r>
    </w:p>
    <w:p>
      <w:pPr>
        <w:spacing w:after="160" w:line="276"/>
        <w:jc w:val="both"/>
      </w:pPr>
      <w:r>
        <w:rPr>
          <w:rFonts w:ascii="Arial" w:cs="Arial" w:eastAsia="Arial" w:hAnsi="Arial"/>
          <w:sz w:val="24"/>
          <w:szCs w:val="24"/>
        </w:rPr>
        <w:t xml:space="preserve">El artículo 82 dispone que el decreto entra en vigencia el uno de enero de 1998 y que debe publicarse en el diario oficial. La publicación se efectuó el 20 de noviembre de 1997, y la ley ha sido reformada posteriormente por los Decretos 71-98, 13-2013 y 9-2014, de modo que su texto vigente integra todas esas modificaciones.</w:t>
      </w:r>
    </w:p>
    <w:p>
      <w:pPr>
        <w:spacing w:after="160" w:line="276"/>
        <w:jc w:val="both"/>
      </w:pPr>
      <w:r>
        <w:rPr>
          <w:rFonts w:ascii="Arial" w:cs="Arial" w:eastAsia="Arial" w:hAnsi="Arial"/>
          <w:sz w:val="24"/>
          <w:szCs w:val="24"/>
        </w:rPr>
        <w:t xml:space="preserve">Operativamente, esta fecha marcó el inicio de la aplicación de los sistemas presupuestario, contable, de tesorería y de crédito público bajo el nuevo marco, con el reglamento como instrumento de desarrollo. Aplicar una versión desactualizada del texto es un riesgo habitual, porque las reformas de 2013 y 2014 introdujeron obligaciones sustanciales de transparencia y control.</w:t>
      </w:r>
    </w:p>
    <w:p>
      <w:pPr>
        <w:pStyle w:val="Heading1"/>
        <w:keepNext/>
        <w:spacing w:after="120" w:before="240"/>
      </w:pPr>
      <w:r>
        <w:rPr>
          <w:rFonts w:ascii="Arial" w:cs="Arial" w:eastAsia="Arial" w:hAnsi="Arial"/>
          <w:b/>
          <w:bCs/>
          <w:sz w:val="26"/>
          <w:szCs w:val="26"/>
        </w:rPr>
        <w:t xml:space="preserve">TEMAS OBLIGATORIOS DE LA GUÍA</w:t>
      </w:r>
    </w:p>
    <w:p>
      <w:pPr>
        <w:pStyle w:val="Heading2"/>
        <w:keepNext/>
        <w:spacing w:after="120" w:before="240"/>
      </w:pPr>
      <w:r>
        <w:rPr>
          <w:rFonts w:ascii="Arial" w:cs="Arial" w:eastAsia="Arial" w:hAnsi="Arial"/>
          <w:b/>
          <w:bCs/>
          <w:sz w:val="24"/>
          <w:szCs w:val="24"/>
        </w:rPr>
        <w:t xml:space="preserve">1. Integración de la Comisión Técnica de Finanzas Públicas</w:t>
      </w:r>
    </w:p>
    <w:p>
      <w:pPr>
        <w:spacing w:after="160" w:line="276"/>
        <w:jc w:val="both"/>
      </w:pPr>
      <w:r>
        <w:rPr>
          <w:rFonts w:ascii="Arial" w:cs="Arial" w:eastAsia="Arial" w:hAnsi="Arial"/>
          <w:sz w:val="24"/>
          <w:szCs w:val="24"/>
        </w:rPr>
        <w:t xml:space="preserve">El artículo 5 de la ley crea la Comisión Técnica de Finanzas Públicas como órgano de asesoría del Ministro y de los Viceministros, y remite su integración al reglamento. El Acuerdo Gubernativo 540-2013 (artículo 7) la integra con el Viceministro de Administración Financiera, quien la preside; un Subsecretario de la Secretaría de Planificación y Programación de la Presidencia; los directores de Técnica del Presupuesto, Contabilidad del Estado, Crédito Público y Análisis y Política Fiscal; el Tesorero Nacional; y el Intendente de Recaudación y Gestión de la SAT.</w:t>
      </w:r>
    </w:p>
    <w:p>
      <w:pPr>
        <w:spacing w:after="160" w:line="276"/>
        <w:jc w:val="both"/>
      </w:pPr>
      <w:r>
        <w:rPr>
          <w:rFonts w:ascii="Arial" w:cs="Arial" w:eastAsia="Arial" w:hAnsi="Arial"/>
          <w:sz w:val="24"/>
          <w:szCs w:val="24"/>
        </w:rPr>
        <w:t xml:space="preserve">Adicionalmente, el presidente nombra un Secretario Técnico y puede invitar a una autoridad del Banco de Guatemala; ambos participan con voz pero sin voto. Todos los miembros, salvo el Viceministro, tienen suplentes del nivel jerárquico inmediato inferior, y las actuaciones constan en actas publicadas en el sitio web correspondiente, lo que le da carácter institucional y no personal.</w:t>
      </w:r>
    </w:p>
    <w:p>
      <w:pPr>
        <w:spacing w:after="160" w:line="276"/>
        <w:jc w:val="both"/>
      </w:pPr>
      <w:r>
        <w:rPr>
          <w:rFonts w:ascii="Arial" w:cs="Arial" w:eastAsia="Arial" w:hAnsi="Arial"/>
          <w:sz w:val="24"/>
          <w:szCs w:val="24"/>
        </w:rPr>
        <w:t xml:space="preserve">La composición reúne a las unidades que operan los sistemas de presupuesto, contabilidad, tesorería, crédito público y recaudación. Si alguno de sus integrantes no participa o la comisión no se reúne, las decisiones de política fiscal pierden la visión integral y se aumenta el riesgo de medidas descoordinadas.</w:t>
      </w:r>
    </w:p>
    <w:p>
      <w:pPr>
        <w:pStyle w:val="Heading2"/>
        <w:keepNext/>
        <w:spacing w:after="120" w:before="240"/>
      </w:pPr>
      <w:r>
        <w:rPr>
          <w:rFonts w:ascii="Arial" w:cs="Arial" w:eastAsia="Arial" w:hAnsi="Arial"/>
          <w:b/>
          <w:bCs/>
          <w:sz w:val="24"/>
          <w:szCs w:val="24"/>
        </w:rPr>
        <w:t xml:space="preserve">2. Objetivos de la Comisión Técnica de Finanzas Públicas</w:t>
      </w:r>
    </w:p>
    <w:p>
      <w:pPr>
        <w:spacing w:after="160" w:line="276"/>
        <w:jc w:val="both"/>
      </w:pPr>
      <w:r>
        <w:rPr>
          <w:rFonts w:ascii="Arial" w:cs="Arial" w:eastAsia="Arial" w:hAnsi="Arial"/>
          <w:sz w:val="24"/>
          <w:szCs w:val="24"/>
        </w:rPr>
        <w:t xml:space="preserve">El artículo 8 del Acuerdo Gubernativo 540-2013 fija tres objetivos. Primero, proponer medidas fiscales en concordancia con los planes de Gobierno y la política macroeconómica, para cumplir las metas de ingresos y gastos. Segundo, hacer compatible con la política fiscal la programación presupuestaria y financiera del Estado y los presupuestos de entidades descentralizadas y autónomas. Tercero, proponer procedimientos para evaluar la gestión de esas entidades y lograr un uso eficaz y eficiente de los recursos.</w:t>
      </w:r>
    </w:p>
    <w:p>
      <w:pPr>
        <w:spacing w:after="160" w:line="276"/>
        <w:jc w:val="both"/>
      </w:pPr>
      <w:r>
        <w:rPr>
          <w:rFonts w:ascii="Arial" w:cs="Arial" w:eastAsia="Arial" w:hAnsi="Arial"/>
          <w:sz w:val="24"/>
          <w:szCs w:val="24"/>
        </w:rPr>
        <w:t xml:space="preserve">Para cumplirlos, el artículo 9 le atribuye funciones como analizar el presupuesto multianual y el plan anual de inversiones, proponer metas financieras para la programación de la ejecución y el flujo de caja del Tesoro, analizar el informe de rendición de cuentas y el presupuesto consolidado, y conocer los presupuestos de las entidades descentralizadas y autónomas. También emite opinión previa para la emisión de Letras de Tesorería.</w:t>
      </w:r>
    </w:p>
    <w:p>
      <w:pPr>
        <w:spacing w:after="160" w:line="276"/>
        <w:jc w:val="both"/>
      </w:pPr>
      <w:r>
        <w:rPr>
          <w:rFonts w:ascii="Arial" w:cs="Arial" w:eastAsia="Arial" w:hAnsi="Arial"/>
          <w:sz w:val="24"/>
          <w:szCs w:val="24"/>
        </w:rPr>
        <w:t xml:space="preserve">Si la comisión no cumple estos objetivos, la política fiscal se formula sin evaluación técnica previa, la programación de caja se desvincula del presupuesto y las entidades descentralizadas no se alinean con las metas del Gobierno, con efectos negativos sobre el equilibrio fiscal.</w:t>
      </w:r>
    </w:p>
    <w:p>
      <w:pPr>
        <w:pStyle w:val="Heading2"/>
        <w:keepNext/>
        <w:spacing w:after="120" w:before="240"/>
      </w:pPr>
      <w:r>
        <w:rPr>
          <w:rFonts w:ascii="Arial" w:cs="Arial" w:eastAsia="Arial" w:hAnsi="Arial"/>
          <w:b/>
          <w:bCs/>
          <w:sz w:val="24"/>
          <w:szCs w:val="24"/>
        </w:rPr>
        <w:t xml:space="preserve">3. Estructura programática del presupuesto</w:t>
      </w:r>
    </w:p>
    <w:p>
      <w:pPr>
        <w:spacing w:after="160" w:line="276"/>
        <w:jc w:val="both"/>
      </w:pPr>
      <w:r>
        <w:rPr>
          <w:rFonts w:ascii="Arial" w:cs="Arial" w:eastAsia="Arial" w:hAnsi="Arial"/>
          <w:sz w:val="24"/>
          <w:szCs w:val="24"/>
        </w:rPr>
        <w:t xml:space="preserve">El artículo 12 de la ley ordena que los presupuestos de egresos utilicen una estructura programática coherente con las políticas, los planes de acción del Gobierno y los planes de desarrollo territorial. El artículo 15 del Acuerdo Gubernativo 540-2013 la desarrolla: el presupuesto se organiza según la técnica de presupuesto por programas y gestión por resultados, con las categorías de programa, subprograma, proyecto y actividad u obra.</w:t>
      </w:r>
    </w:p>
    <w:p>
      <w:pPr>
        <w:spacing w:after="160" w:line="276"/>
        <w:jc w:val="both"/>
      </w:pPr>
      <w:r>
        <w:rPr>
          <w:rFonts w:ascii="Arial" w:cs="Arial" w:eastAsia="Arial" w:hAnsi="Arial"/>
          <w:sz w:val="24"/>
          <w:szCs w:val="24"/>
        </w:rPr>
        <w:t xml:space="preserve">Además, los egresos se clasifican por criterio institucional, objeto del gasto, económico, finalidad, función y división, tipo de gasto, fuentes de financiamiento y ubicación geográfica, y los ingresos por rubros y clasificación económica. En la práctica, cada gasto queda identificado en SICOIN mediante su estructura, y los proyectos de inversión se vinculan con el código del SNIP, lo que permite saber qué se produce, dónde y con qué fuente.</w:t>
      </w:r>
    </w:p>
    <w:p>
      <w:pPr>
        <w:spacing w:after="160" w:line="276"/>
        <w:jc w:val="both"/>
      </w:pPr>
      <w:r>
        <w:rPr>
          <w:rFonts w:ascii="Arial" w:cs="Arial" w:eastAsia="Arial" w:hAnsi="Arial"/>
          <w:sz w:val="24"/>
          <w:szCs w:val="24"/>
        </w:rPr>
        <w:t xml:space="preserve">Si la estructura programática es artificial o no refleja la producción real, el presupuesto se convierte en una lista de rubros sin resultados identificables. Esto dificulta la evaluación, impide asociar el gasto con las políticas públicas y facilita el uso de recursos en actividades distintas de las planificadas.</w:t>
      </w:r>
    </w:p>
    <w:p>
      <w:pPr>
        <w:pStyle w:val="Heading2"/>
        <w:keepNext/>
        <w:spacing w:after="120" w:before="240"/>
      </w:pPr>
      <w:r>
        <w:rPr>
          <w:rFonts w:ascii="Arial" w:cs="Arial" w:eastAsia="Arial" w:hAnsi="Arial"/>
          <w:b/>
          <w:bCs/>
          <w:sz w:val="24"/>
          <w:szCs w:val="24"/>
        </w:rPr>
        <w:t xml:space="preserve">4. Resumen operativo del Acuerdo Gubernativo 240-98 (antiguo reglamento)</w:t>
      </w:r>
    </w:p>
    <w:p>
      <w:pPr>
        <w:spacing w:after="160" w:line="276"/>
        <w:jc w:val="both"/>
      </w:pPr>
      <w:r>
        <w:rPr>
          <w:rFonts w:ascii="Arial" w:cs="Arial" w:eastAsia="Arial" w:hAnsi="Arial"/>
          <w:sz w:val="24"/>
          <w:szCs w:val="24"/>
        </w:rPr>
        <w:t xml:space="preserve">El Acuerdo Gubernativo 240-98, del 28 de abril de 1998, fue el primer reglamento de la Ley Orgánica del Presupuesto. Desarrolló la ley recién vigente designando al Ministerio de Finanzas Públicas como órgano rector del proceso presupuestario, creando la Comisión Técnica de Finanzas Públicas y estableciendo principios como la anualidad y la programación, junto con el uso de manuales uniformes para formular, ejecutar y evaluar los presupuestos.</w:t>
      </w:r>
    </w:p>
    <w:p>
      <w:pPr>
        <w:spacing w:after="160" w:line="276"/>
        <w:jc w:val="both"/>
      </w:pPr>
      <w:r>
        <w:rPr>
          <w:rFonts w:ascii="Arial" w:cs="Arial" w:eastAsia="Arial" w:hAnsi="Arial"/>
          <w:sz w:val="24"/>
          <w:szCs w:val="24"/>
        </w:rPr>
        <w:t xml:space="preserve">Operativamente, ese reglamento fijó las reglas para los sistemas de presupuesto, contabilidad, tesorería y crédito público en sus primeros años, y sirvió de base para los procedimientos de las unidades de administración financiera. Con las reformas de 1999, 2013 y 2014, y la incorporación de la gestión por resultados, el presupuesto multianual, las constancias de disponibilidad y los sistemas SIAF, su contenido quedó superado.</w:t>
      </w:r>
    </w:p>
    <w:p>
      <w:pPr>
        <w:spacing w:after="160" w:line="276"/>
        <w:jc w:val="both"/>
      </w:pPr>
      <w:r>
        <w:rPr>
          <w:rFonts w:ascii="Arial" w:cs="Arial" w:eastAsia="Arial" w:hAnsi="Arial"/>
          <w:sz w:val="24"/>
          <w:szCs w:val="24"/>
        </w:rPr>
        <w:t xml:space="preserve">Por ello, el Acuerdo Gubernativo 540-2013 lo derogó expresamente en su artículo 95 y lo sustituyó como reglamento vigente. Aplicar el texto antiguo en lugar del vigente es un riesgo, pues se omitirían obligaciones actuales de transparencia, rendición de cuentas y control del gasto.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2026-10-14T23:50:30.715Z</dcterms:created>
  <dcterms:modified xsi:type="dcterms:W3CDTF">2026-10-14T23:50:30.720Z</dcterms:modified>
</cp:coreProperties>
</file>

<file path=docProps/custom.xml><?xml version="1.0" encoding="utf-8"?>
<Properties xmlns="http://schemas.openxmlformats.org/officeDocument/2006/custom-properties" xmlns:vt="http://schemas.openxmlformats.org/officeDocument/2006/docPropsVTypes"/>
</file>