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A2CE" w14:textId="03CCE021" w:rsid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t>TÍTULO IV: DEL SISTEMA DE TESORERÍA</w:t>
      </w:r>
    </w:p>
    <w:p w14:paraId="20755038" w14:textId="5C775E68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54. Sistema de Tesorería.</w:t>
      </w:r>
      <w:r w:rsidRPr="002210D4">
        <w:rPr>
          <w:rFonts w:ascii="Arial" w:hAnsi="Arial" w:cs="Arial"/>
        </w:rPr>
        <w:br/>
        <w:t>Establece las normas y procedimientos para administrar los recursos públicos y pagar las obligaciones del Estado. Su importancia es garantizar una administración ordenada del dinero público.</w:t>
      </w:r>
    </w:p>
    <w:p w14:paraId="4F93353B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55. Atribuciones del órgano rector.</w:t>
      </w:r>
      <w:r w:rsidRPr="002210D4">
        <w:rPr>
          <w:rFonts w:ascii="Arial" w:hAnsi="Arial" w:cs="Arial"/>
        </w:rPr>
        <w:br/>
        <w:t>Asigna al Ministerio de Finanzas Públicas, por medio de la Tesorería Nacional, la coordinación de los ingresos, pagos y disponibilidad de fondos. Esto permite utilizar los recursos de forma eficiente.</w:t>
      </w:r>
    </w:p>
    <w:p w14:paraId="5D6DFDCF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55 Bis. Fondo Común.</w:t>
      </w:r>
      <w:r w:rsidRPr="002210D4">
        <w:rPr>
          <w:rFonts w:ascii="Arial" w:hAnsi="Arial" w:cs="Arial"/>
        </w:rPr>
        <w:br/>
        <w:t>Establece que los ingresos del Estado se depositen en el Fondo Común, desde el cual se realizan pagos autorizados por el presupuesto. Facilita el control y la administración centralizada del dinero público.</w:t>
      </w:r>
    </w:p>
    <w:p w14:paraId="5FAEE52F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56. Programa anual de caja.</w:t>
      </w:r>
      <w:r w:rsidRPr="002210D4">
        <w:rPr>
          <w:rFonts w:ascii="Arial" w:hAnsi="Arial" w:cs="Arial"/>
        </w:rPr>
        <w:br/>
        <w:t>Permite planificar los ingresos y gastos disponibles durante el año. Su finalidad es evitar problemas de liquidez y asegurar que las instituciones puedan cumplir sus obligaciones.</w:t>
      </w:r>
    </w:p>
    <w:p w14:paraId="539B26FF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57. Letras de Tesorería.</w:t>
      </w:r>
      <w:r w:rsidRPr="002210D4">
        <w:rPr>
          <w:rFonts w:ascii="Arial" w:hAnsi="Arial" w:cs="Arial"/>
        </w:rPr>
        <w:br/>
        <w:t>Autoriza el uso de crédito a corto plazo para cubrir faltantes temporales de ingresos, con un límite legal del 20 % de los ingresos corrientes estimados. Estas obligaciones deben pagarse dentro del mismo ejercicio fiscal.</w:t>
      </w:r>
    </w:p>
    <w:p w14:paraId="0233E633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57 Bis. Caja Única.</w:t>
      </w:r>
      <w:r w:rsidRPr="002210D4">
        <w:rPr>
          <w:rFonts w:ascii="Arial" w:hAnsi="Arial" w:cs="Arial"/>
        </w:rPr>
        <w:br/>
        <w:t>Regula la realización de pagos estatales mediante el Fondo Común y el sistema bancario. Busca mejorar el control, la transparencia y la eficiencia de las transferencias de fondos.</w:t>
      </w:r>
    </w:p>
    <w:p w14:paraId="1C12D2AD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58. Fondos rotativos.</w:t>
      </w:r>
      <w:r w:rsidRPr="002210D4">
        <w:rPr>
          <w:rFonts w:ascii="Arial" w:hAnsi="Arial" w:cs="Arial"/>
        </w:rPr>
        <w:br/>
        <w:t>Permite autorizar fondos anticipados para facilitar determinados gastos administrativos. Estos fondos deben manejarse conforme a los límites y procedimientos establecidos legalmente.</w:t>
      </w:r>
    </w:p>
    <w:p w14:paraId="1928E768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59. Rendición de informes de entidades financieras.</w:t>
      </w:r>
      <w:r w:rsidRPr="002210D4">
        <w:rPr>
          <w:rFonts w:ascii="Arial" w:hAnsi="Arial" w:cs="Arial"/>
        </w:rPr>
        <w:br/>
        <w:t>Obliga a las entidades que actúan como agentes financieros del Estado a informar sobre los movimientos y la disponibilidad de las cuentas bajo su responsabilidad. Esto facilita la supervisión financiera.</w:t>
      </w:r>
    </w:p>
    <w:p w14:paraId="6D1BEE12" w14:textId="77777777" w:rsidR="002210D4" w:rsidRDefault="002210D4" w:rsidP="002210D4">
      <w:pPr>
        <w:rPr>
          <w:rFonts w:ascii="Arial" w:hAnsi="Arial" w:cs="Arial"/>
          <w:b/>
          <w:bCs/>
        </w:rPr>
      </w:pPr>
    </w:p>
    <w:p w14:paraId="1EEA1E69" w14:textId="77777777" w:rsidR="002210D4" w:rsidRDefault="002210D4" w:rsidP="002210D4">
      <w:pPr>
        <w:rPr>
          <w:rFonts w:ascii="Arial" w:hAnsi="Arial" w:cs="Arial"/>
          <w:b/>
          <w:bCs/>
        </w:rPr>
      </w:pPr>
    </w:p>
    <w:p w14:paraId="51423FDF" w14:textId="638921FF" w:rsidR="002210D4" w:rsidRP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lastRenderedPageBreak/>
        <w:t>TÍTULO V: DEL SISTEMA DE CRÉDITO PÚBLICO</w:t>
      </w:r>
    </w:p>
    <w:p w14:paraId="7599259A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60. Sistema de crédito público.</w:t>
      </w:r>
      <w:r w:rsidRPr="002210D4">
        <w:rPr>
          <w:rFonts w:ascii="Arial" w:hAnsi="Arial" w:cs="Arial"/>
        </w:rPr>
        <w:br/>
        <w:t>Establece las normas para contratar y administrar operaciones de endeudamiento público. Su objetivo es obtener financiamiento para atender necesidades del Estado.</w:t>
      </w:r>
    </w:p>
    <w:p w14:paraId="0F446BC0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61. Ámbito legal.</w:t>
      </w:r>
      <w:r w:rsidRPr="002210D4">
        <w:rPr>
          <w:rFonts w:ascii="Arial" w:hAnsi="Arial" w:cs="Arial"/>
        </w:rPr>
        <w:br/>
        <w:t>Determina las normas que regulan el crédito público y los destinos permitidos para sus recursos. Busca que el endeudamiento responda a necesidades justificadas y de interés nacional.</w:t>
      </w:r>
    </w:p>
    <w:p w14:paraId="4EE66051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61 Bis. Reorientación y renegociación de préstamos externos.</w:t>
      </w:r>
      <w:r w:rsidRPr="002210D4">
        <w:rPr>
          <w:rFonts w:ascii="Arial" w:hAnsi="Arial" w:cs="Arial"/>
        </w:rPr>
        <w:br/>
        <w:t>Regula mecanismos para reorientar o renegociar determinados préstamos externos conforme a las condiciones legales. Su importancia consiste en permitir ajustes cuando sean necesarios, sin descuidar el uso adecuado de los recursos.</w:t>
      </w:r>
    </w:p>
    <w:p w14:paraId="7709ECC6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62. Atribuciones del órgano rector.</w:t>
      </w:r>
      <w:r w:rsidRPr="002210D4">
        <w:rPr>
          <w:rFonts w:ascii="Arial" w:hAnsi="Arial" w:cs="Arial"/>
        </w:rPr>
        <w:br/>
        <w:t>Establece las funciones del órgano encargado de dirigir el sistema de crédito público, incluyendo la planificación, coordinación y seguimiento de la deuda. Esto permite mantener un mejor control de las obligaciones financieras.</w:t>
      </w:r>
    </w:p>
    <w:p w14:paraId="52CD509B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63. Deuda pública de mediano y largo plazo.</w:t>
      </w:r>
      <w:r w:rsidRPr="002210D4">
        <w:rPr>
          <w:rFonts w:ascii="Arial" w:hAnsi="Arial" w:cs="Arial"/>
        </w:rPr>
        <w:br/>
        <w:t>Define la deuda pública que debe reembolsarse bajo condiciones previamente establecidas. Incluye préstamos, títulos de deuda, garantías y otras obligaciones contempladas por la ley.</w:t>
      </w:r>
    </w:p>
    <w:p w14:paraId="299A1AB5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64. Autorización.</w:t>
      </w:r>
      <w:r w:rsidRPr="002210D4">
        <w:rPr>
          <w:rFonts w:ascii="Arial" w:hAnsi="Arial" w:cs="Arial"/>
        </w:rPr>
        <w:br/>
        <w:t>Establece que las entidades públicas necesitan autorización previa del Ministerio de Finanzas Públicas para iniciar trámites de operaciones de crédito público. Esto evita el endeudamiento sin control institucional.</w:t>
      </w:r>
    </w:p>
    <w:p w14:paraId="17FF67C6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65. Presupuesto de la deuda pública.</w:t>
      </w:r>
      <w:r w:rsidRPr="002210D4">
        <w:rPr>
          <w:rFonts w:ascii="Arial" w:hAnsi="Arial" w:cs="Arial"/>
        </w:rPr>
        <w:br/>
        <w:t>Dispone que el presupuesto contemple los ingresos procedentes de operaciones de crédito público y los gastos relacionados con el pago de capital, intereses y otros cargos. Permite prever el impacto de la deuda sobre las finanzas públicas.</w:t>
      </w:r>
    </w:p>
    <w:p w14:paraId="11E52EE6" w14:textId="77777777" w:rsidR="002210D4" w:rsidRP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t>Artículo 66. Pagos por servicio de deuda pública.</w:t>
      </w:r>
      <w:r w:rsidRPr="002210D4">
        <w:rPr>
          <w:rFonts w:ascii="Arial" w:hAnsi="Arial" w:cs="Arial"/>
          <w:b/>
          <w:bCs/>
        </w:rPr>
        <w:br/>
      </w:r>
      <w:r w:rsidRPr="002210D4">
        <w:rPr>
          <w:rFonts w:ascii="Arial" w:hAnsi="Arial" w:cs="Arial"/>
        </w:rPr>
        <w:t>Regula el pago del capital, los intereses y otros cargos de la deuda pública. Su finalidad es asegurar que el Estado y las entidades obligadas cumplan oportunamente sus compromisos.</w:t>
      </w:r>
    </w:p>
    <w:p w14:paraId="31BBAEF4" w14:textId="77777777" w:rsidR="002210D4" w:rsidRDefault="002210D4" w:rsidP="002210D4">
      <w:pPr>
        <w:rPr>
          <w:rFonts w:ascii="Arial" w:hAnsi="Arial" w:cs="Arial"/>
          <w:b/>
          <w:bCs/>
        </w:rPr>
      </w:pPr>
    </w:p>
    <w:p w14:paraId="2044DE7C" w14:textId="169D75C4" w:rsidR="002210D4" w:rsidRP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lastRenderedPageBreak/>
        <w:t>Artículo 67. Opiniones técnicas.</w:t>
      </w:r>
      <w:r w:rsidRPr="002210D4">
        <w:rPr>
          <w:rFonts w:ascii="Arial" w:hAnsi="Arial" w:cs="Arial"/>
          <w:b/>
          <w:bCs/>
        </w:rPr>
        <w:br/>
      </w:r>
      <w:r w:rsidRPr="002210D4">
        <w:rPr>
          <w:rFonts w:ascii="Arial" w:hAnsi="Arial" w:cs="Arial"/>
        </w:rPr>
        <w:t>Establece que determinadas operaciones de crédito público deben contar con opiniones técnicas del Ministerio de Finanzas Públicas, la Secretaría de Planificación y Programación de la Presidencia y la Junta Monetaria, según sus competencias. Esto permite evaluar las operaciones antes de formalizarlas.</w:t>
      </w:r>
    </w:p>
    <w:p w14:paraId="0D1805FB" w14:textId="77777777" w:rsidR="002210D4" w:rsidRP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t>Artículo 68. Condicionalidad.</w:t>
      </w:r>
      <w:r w:rsidRPr="002210D4">
        <w:rPr>
          <w:rFonts w:ascii="Arial" w:hAnsi="Arial" w:cs="Arial"/>
          <w:b/>
          <w:bCs/>
        </w:rPr>
        <w:br/>
      </w:r>
      <w:r w:rsidRPr="002210D4">
        <w:rPr>
          <w:rFonts w:ascii="Arial" w:hAnsi="Arial" w:cs="Arial"/>
        </w:rPr>
        <w:t>Establece condiciones para que las entidades descentralizadas, autónomas y municipalidades realicen operaciones de crédito público, considerando su capacidad de pago y la política de crédito público. Busca evitar un endeudamiento excesivo.</w:t>
      </w:r>
    </w:p>
    <w:p w14:paraId="6DAA13DF" w14:textId="77777777" w:rsidR="002210D4" w:rsidRP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t>Artículo 69. Reestructuración de deuda.</w:t>
      </w:r>
      <w:r w:rsidRPr="002210D4">
        <w:rPr>
          <w:rFonts w:ascii="Arial" w:hAnsi="Arial" w:cs="Arial"/>
          <w:b/>
          <w:bCs/>
        </w:rPr>
        <w:br/>
      </w:r>
      <w:r w:rsidRPr="002210D4">
        <w:rPr>
          <w:rFonts w:ascii="Arial" w:hAnsi="Arial" w:cs="Arial"/>
        </w:rPr>
        <w:t>Permite modificar o renegociar la deuda pública cuando se puedan mejorar sus montos, plazos o intereses. Esto puede ayudar a reducir costos financieros</w:t>
      </w:r>
      <w:r w:rsidRPr="002210D4">
        <w:rPr>
          <w:rFonts w:ascii="Arial" w:hAnsi="Arial" w:cs="Arial"/>
          <w:b/>
          <w:bCs/>
        </w:rPr>
        <w:t>.</w:t>
      </w:r>
    </w:p>
    <w:p w14:paraId="30C939DD" w14:textId="77777777" w:rsidR="002210D4" w:rsidRPr="002210D4" w:rsidRDefault="002210D4" w:rsidP="002210D4">
      <w:pPr>
        <w:rPr>
          <w:rFonts w:ascii="Arial" w:hAnsi="Arial" w:cs="Arial"/>
          <w:b/>
          <w:bCs/>
        </w:rPr>
      </w:pPr>
      <w:r w:rsidRPr="002210D4">
        <w:rPr>
          <w:rFonts w:ascii="Arial" w:hAnsi="Arial" w:cs="Arial"/>
          <w:b/>
          <w:bCs/>
        </w:rPr>
        <w:t>Artículo 70. Nulidad de las operaciones.</w:t>
      </w:r>
      <w:r w:rsidRPr="002210D4">
        <w:rPr>
          <w:rFonts w:ascii="Arial" w:hAnsi="Arial" w:cs="Arial"/>
          <w:b/>
          <w:bCs/>
        </w:rPr>
        <w:br/>
      </w:r>
      <w:r w:rsidRPr="002210D4">
        <w:rPr>
          <w:rFonts w:ascii="Arial" w:hAnsi="Arial" w:cs="Arial"/>
        </w:rPr>
        <w:t>Establece que las operaciones de crédito público realizadas en contra de la ley son nulas y sin efecto, sin perjuicio de las responsabilidades que correspondan. Su objetivo es prevenir el endeudamiento ilegal.</w:t>
      </w:r>
    </w:p>
    <w:p w14:paraId="0C05D09A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71. Colocación de los títulos.</w:t>
      </w:r>
      <w:r w:rsidRPr="002210D4">
        <w:rPr>
          <w:rFonts w:ascii="Arial" w:hAnsi="Arial" w:cs="Arial"/>
        </w:rPr>
        <w:br/>
        <w:t>Regula la colocación de títulos de deuda pública en el mercado, conforme a los requisitos establecidos. Esto permite canalizar el financiamiento hacia el Estado de forma regulada.</w:t>
      </w:r>
    </w:p>
    <w:p w14:paraId="56205D1D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72. Rescate de títulos.</w:t>
      </w:r>
      <w:r w:rsidRPr="002210D4">
        <w:rPr>
          <w:rFonts w:ascii="Arial" w:hAnsi="Arial" w:cs="Arial"/>
        </w:rPr>
        <w:br/>
        <w:t>Permite al Ministerio de Finanzas Públicas rescatar anticipadamente determinados títulos de deuda pública para reducir obligaciones o conseguir condiciones más favorables.</w:t>
      </w:r>
    </w:p>
    <w:p w14:paraId="32A11214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73. Requisitos para desembolsos.</w:t>
      </w:r>
      <w:r w:rsidRPr="002210D4">
        <w:rPr>
          <w:rFonts w:ascii="Arial" w:hAnsi="Arial" w:cs="Arial"/>
        </w:rPr>
        <w:br/>
        <w:t>Establece obligaciones de información y seguimiento para las entidades que ejecutan proyectos financiados con crédito público. Busca asegurar que los recursos se utilicen correctamente y conforme a lo programado.</w:t>
      </w:r>
    </w:p>
    <w:p w14:paraId="683F5C5C" w14:textId="77777777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t>Artículo 74. Excepciones.</w:t>
      </w:r>
      <w:r w:rsidRPr="002210D4">
        <w:rPr>
          <w:rFonts w:ascii="Arial" w:hAnsi="Arial" w:cs="Arial"/>
        </w:rPr>
        <w:br/>
        <w:t>Exceptúa de estas disposiciones las operaciones de crédito público que realiza el Banco de Guatemala para garantizar la estabilidad monetaria, cambiaria y crediticia.</w:t>
      </w:r>
    </w:p>
    <w:p w14:paraId="3F1386B1" w14:textId="77777777" w:rsidR="002210D4" w:rsidRDefault="002210D4" w:rsidP="002210D4">
      <w:pPr>
        <w:rPr>
          <w:rFonts w:ascii="Arial" w:hAnsi="Arial" w:cs="Arial"/>
          <w:b/>
          <w:bCs/>
        </w:rPr>
      </w:pPr>
    </w:p>
    <w:p w14:paraId="3C551C11" w14:textId="77777777" w:rsidR="002210D4" w:rsidRDefault="002210D4" w:rsidP="002210D4">
      <w:pPr>
        <w:rPr>
          <w:rFonts w:ascii="Arial" w:hAnsi="Arial" w:cs="Arial"/>
          <w:b/>
          <w:bCs/>
        </w:rPr>
      </w:pPr>
    </w:p>
    <w:p w14:paraId="61C7201E" w14:textId="6B2317CE" w:rsidR="002210D4" w:rsidRPr="002210D4" w:rsidRDefault="002210D4" w:rsidP="002210D4">
      <w:pPr>
        <w:rPr>
          <w:rFonts w:ascii="Arial" w:hAnsi="Arial" w:cs="Arial"/>
        </w:rPr>
      </w:pPr>
      <w:r w:rsidRPr="002210D4">
        <w:rPr>
          <w:rFonts w:ascii="Arial" w:hAnsi="Arial" w:cs="Arial"/>
          <w:b/>
          <w:bCs/>
        </w:rPr>
        <w:lastRenderedPageBreak/>
        <w:t>Artículo 74 Bis. Pago de obligaciones exigibles.</w:t>
      </w:r>
      <w:r w:rsidRPr="002210D4">
        <w:rPr>
          <w:rFonts w:ascii="Arial" w:hAnsi="Arial" w:cs="Arial"/>
        </w:rPr>
        <w:br/>
        <w:t>Obliga a las entidades públicas comprendidas en el artículo a pagar indemnizaciones, prestaciones y otras obligaciones exigibles conforme a la ley. Si no fueron previstas en el presupuesto, deben realizar las gestiones necesarias para cumplir los plazos judiciales establecidos.</w:t>
      </w:r>
    </w:p>
    <w:p w14:paraId="633F6F65" w14:textId="2211030B" w:rsidR="00A32C27" w:rsidRPr="00FD3E55" w:rsidRDefault="00A32C27">
      <w:pPr>
        <w:rPr>
          <w:rFonts w:ascii="Arial" w:hAnsi="Arial" w:cs="Arial"/>
        </w:rPr>
      </w:pPr>
    </w:p>
    <w:sectPr w:rsidR="00A32C27" w:rsidRPr="00FD3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82"/>
    <w:rsid w:val="002210D4"/>
    <w:rsid w:val="00844777"/>
    <w:rsid w:val="00A32C27"/>
    <w:rsid w:val="00D03182"/>
    <w:rsid w:val="00F979F1"/>
    <w:rsid w:val="00FD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EA191"/>
  <w15:chartTrackingRefBased/>
  <w15:docId w15:val="{5855F225-50C2-4D34-8619-017214FF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951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Daniel Montepeque Lopez</dc:creator>
  <cp:keywords/>
  <dc:description/>
  <cp:lastModifiedBy>Cristian Daniel Montepeque Lopez</cp:lastModifiedBy>
  <cp:revision>1</cp:revision>
  <dcterms:created xsi:type="dcterms:W3CDTF">2026-10-13T15:58:00Z</dcterms:created>
  <dcterms:modified xsi:type="dcterms:W3CDTF">2026-10-13T19:34:00Z</dcterms:modified>
</cp:coreProperties>
</file>