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4F008" w14:textId="77777777" w:rsidR="004740EE" w:rsidRPr="004740EE" w:rsidRDefault="004740EE" w:rsidP="004740EE">
      <w:pPr>
        <w:rPr>
          <w:rFonts w:ascii="Times New Roman" w:hAnsi="Times New Roman" w:cs="Times New Roman"/>
          <w:b/>
          <w:bCs/>
          <w:color w:val="000000" w:themeColor="text1"/>
        </w:rPr>
      </w:pPr>
      <w:r w:rsidRPr="004740EE">
        <w:rPr>
          <w:rFonts w:ascii="Times New Roman" w:hAnsi="Times New Roman" w:cs="Times New Roman"/>
          <w:b/>
          <w:bCs/>
          <w:color w:val="000000" w:themeColor="text1"/>
        </w:rPr>
        <w:t>Bank Loan Performance Analysis</w:t>
      </w:r>
    </w:p>
    <w:p w14:paraId="23F930AF"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i/>
          <w:iCs/>
          <w:color w:val="000000" w:themeColor="text1"/>
        </w:rPr>
        <w:t>Analyzing loan performance and default risk to support data-driven credit decisions and portfolio optimization using SQL, Python, and Power BI.</w:t>
      </w:r>
    </w:p>
    <w:p w14:paraId="29CD71E2"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pict w14:anchorId="66D2A337">
          <v:rect id="_x0000_i1095" style="width:0;height:1.5pt" o:hralign="center" o:hrstd="t" o:hr="t" fillcolor="#a0a0a0" stroked="f"/>
        </w:pict>
      </w:r>
    </w:p>
    <w:p w14:paraId="4996A971" w14:textId="77777777" w:rsidR="004740EE" w:rsidRPr="004740EE" w:rsidRDefault="004740EE" w:rsidP="004740EE">
      <w:pPr>
        <w:rPr>
          <w:rFonts w:ascii="Times New Roman" w:hAnsi="Times New Roman" w:cs="Times New Roman"/>
          <w:b/>
          <w:bCs/>
          <w:color w:val="000000" w:themeColor="text1"/>
        </w:rPr>
      </w:pPr>
      <w:r w:rsidRPr="004740EE">
        <w:rPr>
          <w:rFonts w:ascii="Times New Roman" w:hAnsi="Times New Roman" w:cs="Times New Roman"/>
          <w:b/>
          <w:bCs/>
          <w:color w:val="000000" w:themeColor="text1"/>
        </w:rPr>
        <w:t>Table of Content</w:t>
      </w:r>
    </w:p>
    <w:p w14:paraId="33EF32B0" w14:textId="77777777" w:rsidR="004740EE" w:rsidRPr="004740EE" w:rsidRDefault="004740EE" w:rsidP="004740EE">
      <w:pPr>
        <w:numPr>
          <w:ilvl w:val="0"/>
          <w:numId w:val="6"/>
        </w:numPr>
        <w:rPr>
          <w:rFonts w:ascii="Times New Roman" w:hAnsi="Times New Roman" w:cs="Times New Roman"/>
          <w:color w:val="000000" w:themeColor="text1"/>
        </w:rPr>
      </w:pPr>
      <w:r w:rsidRPr="004740EE">
        <w:rPr>
          <w:rFonts w:ascii="Times New Roman" w:hAnsi="Times New Roman" w:cs="Times New Roman"/>
          <w:color w:val="000000" w:themeColor="text1"/>
        </w:rPr>
        <w:t>Executive Summary</w:t>
      </w:r>
    </w:p>
    <w:p w14:paraId="7A784D38" w14:textId="77777777" w:rsidR="004740EE" w:rsidRPr="004740EE" w:rsidRDefault="004740EE" w:rsidP="004740EE">
      <w:pPr>
        <w:numPr>
          <w:ilvl w:val="0"/>
          <w:numId w:val="6"/>
        </w:numPr>
        <w:rPr>
          <w:rFonts w:ascii="Times New Roman" w:hAnsi="Times New Roman" w:cs="Times New Roman"/>
          <w:color w:val="000000" w:themeColor="text1"/>
        </w:rPr>
      </w:pPr>
      <w:r w:rsidRPr="004740EE">
        <w:rPr>
          <w:rFonts w:ascii="Times New Roman" w:hAnsi="Times New Roman" w:cs="Times New Roman"/>
          <w:color w:val="000000" w:themeColor="text1"/>
        </w:rPr>
        <w:t>Business Problem</w:t>
      </w:r>
    </w:p>
    <w:p w14:paraId="743761E4" w14:textId="77777777" w:rsidR="004740EE" w:rsidRPr="004740EE" w:rsidRDefault="004740EE" w:rsidP="004740EE">
      <w:pPr>
        <w:numPr>
          <w:ilvl w:val="0"/>
          <w:numId w:val="6"/>
        </w:numPr>
        <w:rPr>
          <w:rFonts w:ascii="Times New Roman" w:hAnsi="Times New Roman" w:cs="Times New Roman"/>
          <w:color w:val="000000" w:themeColor="text1"/>
        </w:rPr>
      </w:pPr>
      <w:r w:rsidRPr="004740EE">
        <w:rPr>
          <w:rFonts w:ascii="Times New Roman" w:hAnsi="Times New Roman" w:cs="Times New Roman"/>
          <w:color w:val="000000" w:themeColor="text1"/>
        </w:rPr>
        <w:t>Dataset</w:t>
      </w:r>
    </w:p>
    <w:p w14:paraId="0BB34E1C" w14:textId="77777777" w:rsidR="004740EE" w:rsidRPr="004740EE" w:rsidRDefault="004740EE" w:rsidP="004740EE">
      <w:pPr>
        <w:numPr>
          <w:ilvl w:val="0"/>
          <w:numId w:val="6"/>
        </w:numPr>
        <w:rPr>
          <w:rFonts w:ascii="Times New Roman" w:hAnsi="Times New Roman" w:cs="Times New Roman"/>
          <w:color w:val="000000" w:themeColor="text1"/>
        </w:rPr>
      </w:pPr>
      <w:r w:rsidRPr="004740EE">
        <w:rPr>
          <w:rFonts w:ascii="Times New Roman" w:hAnsi="Times New Roman" w:cs="Times New Roman"/>
          <w:color w:val="000000" w:themeColor="text1"/>
        </w:rPr>
        <w:t>Tools &amp; Technologies</w:t>
      </w:r>
    </w:p>
    <w:p w14:paraId="78C83966" w14:textId="77777777" w:rsidR="004740EE" w:rsidRPr="004740EE" w:rsidRDefault="004740EE" w:rsidP="004740EE">
      <w:pPr>
        <w:numPr>
          <w:ilvl w:val="0"/>
          <w:numId w:val="6"/>
        </w:numPr>
        <w:rPr>
          <w:rFonts w:ascii="Times New Roman" w:hAnsi="Times New Roman" w:cs="Times New Roman"/>
          <w:color w:val="000000" w:themeColor="text1"/>
        </w:rPr>
      </w:pPr>
      <w:r w:rsidRPr="004740EE">
        <w:rPr>
          <w:rFonts w:ascii="Times New Roman" w:hAnsi="Times New Roman" w:cs="Times New Roman"/>
          <w:color w:val="000000" w:themeColor="text1"/>
        </w:rPr>
        <w:t>Project Structure</w:t>
      </w:r>
    </w:p>
    <w:p w14:paraId="344EE4DB" w14:textId="77777777" w:rsidR="004740EE" w:rsidRPr="004740EE" w:rsidRDefault="004740EE" w:rsidP="004740EE">
      <w:pPr>
        <w:numPr>
          <w:ilvl w:val="0"/>
          <w:numId w:val="6"/>
        </w:numPr>
        <w:rPr>
          <w:rFonts w:ascii="Times New Roman" w:hAnsi="Times New Roman" w:cs="Times New Roman"/>
          <w:color w:val="000000" w:themeColor="text1"/>
        </w:rPr>
      </w:pPr>
      <w:r w:rsidRPr="004740EE">
        <w:rPr>
          <w:rFonts w:ascii="Times New Roman" w:hAnsi="Times New Roman" w:cs="Times New Roman"/>
          <w:color w:val="000000" w:themeColor="text1"/>
        </w:rPr>
        <w:t>Key Portfolio Insights</w:t>
      </w:r>
    </w:p>
    <w:p w14:paraId="51AE877D" w14:textId="77777777" w:rsidR="004740EE" w:rsidRPr="004740EE" w:rsidRDefault="004740EE" w:rsidP="004740EE">
      <w:pPr>
        <w:numPr>
          <w:ilvl w:val="0"/>
          <w:numId w:val="6"/>
        </w:numPr>
        <w:rPr>
          <w:rFonts w:ascii="Times New Roman" w:hAnsi="Times New Roman" w:cs="Times New Roman"/>
          <w:color w:val="000000" w:themeColor="text1"/>
        </w:rPr>
      </w:pPr>
      <w:r w:rsidRPr="004740EE">
        <w:rPr>
          <w:rFonts w:ascii="Times New Roman" w:hAnsi="Times New Roman" w:cs="Times New Roman"/>
          <w:color w:val="000000" w:themeColor="text1"/>
        </w:rPr>
        <w:t>Segmentation Insights</w:t>
      </w:r>
    </w:p>
    <w:p w14:paraId="2F90AFC3" w14:textId="77777777" w:rsidR="004740EE" w:rsidRPr="004740EE" w:rsidRDefault="004740EE" w:rsidP="004740EE">
      <w:pPr>
        <w:numPr>
          <w:ilvl w:val="0"/>
          <w:numId w:val="6"/>
        </w:numPr>
        <w:rPr>
          <w:rFonts w:ascii="Times New Roman" w:hAnsi="Times New Roman" w:cs="Times New Roman"/>
          <w:color w:val="000000" w:themeColor="text1"/>
        </w:rPr>
      </w:pPr>
      <w:r w:rsidRPr="004740EE">
        <w:rPr>
          <w:rFonts w:ascii="Times New Roman" w:hAnsi="Times New Roman" w:cs="Times New Roman"/>
          <w:color w:val="000000" w:themeColor="text1"/>
        </w:rPr>
        <w:t>Trend Analysis</w:t>
      </w:r>
    </w:p>
    <w:p w14:paraId="5CB38E26" w14:textId="77777777" w:rsidR="004740EE" w:rsidRPr="004740EE" w:rsidRDefault="004740EE" w:rsidP="004740EE">
      <w:pPr>
        <w:numPr>
          <w:ilvl w:val="0"/>
          <w:numId w:val="6"/>
        </w:numPr>
        <w:rPr>
          <w:rFonts w:ascii="Times New Roman" w:hAnsi="Times New Roman" w:cs="Times New Roman"/>
          <w:color w:val="000000" w:themeColor="text1"/>
        </w:rPr>
      </w:pPr>
      <w:r w:rsidRPr="004740EE">
        <w:rPr>
          <w:rFonts w:ascii="Times New Roman" w:hAnsi="Times New Roman" w:cs="Times New Roman"/>
          <w:color w:val="000000" w:themeColor="text1"/>
        </w:rPr>
        <w:t>Recommendations for Management</w:t>
      </w:r>
    </w:p>
    <w:p w14:paraId="6F613E7D" w14:textId="77777777" w:rsidR="004740EE" w:rsidRPr="004740EE" w:rsidRDefault="004740EE" w:rsidP="004740EE">
      <w:pPr>
        <w:numPr>
          <w:ilvl w:val="0"/>
          <w:numId w:val="6"/>
        </w:numPr>
        <w:rPr>
          <w:rFonts w:ascii="Times New Roman" w:hAnsi="Times New Roman" w:cs="Times New Roman"/>
          <w:color w:val="000000" w:themeColor="text1"/>
        </w:rPr>
      </w:pPr>
      <w:r w:rsidRPr="004740EE">
        <w:rPr>
          <w:rFonts w:ascii="Times New Roman" w:hAnsi="Times New Roman" w:cs="Times New Roman"/>
          <w:color w:val="000000" w:themeColor="text1"/>
        </w:rPr>
        <w:t>Conclusion</w:t>
      </w:r>
    </w:p>
    <w:p w14:paraId="00A736D4" w14:textId="77777777" w:rsidR="004740EE" w:rsidRPr="004740EE" w:rsidRDefault="004740EE" w:rsidP="004740EE">
      <w:pPr>
        <w:numPr>
          <w:ilvl w:val="0"/>
          <w:numId w:val="6"/>
        </w:numPr>
        <w:rPr>
          <w:rFonts w:ascii="Times New Roman" w:hAnsi="Times New Roman" w:cs="Times New Roman"/>
          <w:color w:val="000000" w:themeColor="text1"/>
        </w:rPr>
      </w:pPr>
      <w:r w:rsidRPr="004740EE">
        <w:rPr>
          <w:rFonts w:ascii="Times New Roman" w:hAnsi="Times New Roman" w:cs="Times New Roman"/>
          <w:color w:val="000000" w:themeColor="text1"/>
        </w:rPr>
        <w:t>Author &amp; Contact</w:t>
      </w:r>
    </w:p>
    <w:p w14:paraId="29EF0868"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pict w14:anchorId="39CC58DC">
          <v:rect id="_x0000_i1096" style="width:0;height:1.5pt" o:hralign="center" o:hrstd="t" o:hr="t" fillcolor="#a0a0a0" stroked="f"/>
        </w:pict>
      </w:r>
    </w:p>
    <w:p w14:paraId="522249C2" w14:textId="77777777" w:rsidR="004740EE" w:rsidRPr="004740EE" w:rsidRDefault="004740EE" w:rsidP="004740EE">
      <w:pPr>
        <w:rPr>
          <w:rFonts w:ascii="Times New Roman" w:hAnsi="Times New Roman" w:cs="Times New Roman"/>
          <w:b/>
          <w:bCs/>
          <w:color w:val="000000" w:themeColor="text1"/>
        </w:rPr>
      </w:pPr>
      <w:r w:rsidRPr="004740EE">
        <w:rPr>
          <w:rFonts w:ascii="Times New Roman" w:hAnsi="Times New Roman" w:cs="Times New Roman"/>
          <w:b/>
          <w:bCs/>
          <w:color w:val="000000" w:themeColor="text1"/>
        </w:rPr>
        <w:t>Executive Summary</w:t>
      </w:r>
    </w:p>
    <w:p w14:paraId="087483DD"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t xml:space="preserve">The dataset, covering the period from January 2021 to December 2021, consists of approximately 39,000 records across 24 variables. During this time, a total of 38.6K loan applications were received, with an overall funded amount of USD 435.8 million. In comparison, the total amount received stood at USD 473.1 million, resulting in a surplus of USD 37.3 million, which is about 8.6% higher than the funded amount. </w:t>
      </w:r>
      <w:proofErr w:type="gramStart"/>
      <w:r w:rsidRPr="004740EE">
        <w:rPr>
          <w:rFonts w:ascii="Times New Roman" w:hAnsi="Times New Roman" w:cs="Times New Roman"/>
          <w:color w:val="000000" w:themeColor="text1"/>
        </w:rPr>
        <w:t>This surplus highlights</w:t>
      </w:r>
      <w:proofErr w:type="gramEnd"/>
      <w:r w:rsidRPr="004740EE">
        <w:rPr>
          <w:rFonts w:ascii="Times New Roman" w:hAnsi="Times New Roman" w:cs="Times New Roman"/>
          <w:color w:val="000000" w:themeColor="text1"/>
        </w:rPr>
        <w:t xml:space="preserve"> additional financial flexibility and lowers funding risk. Furthermore, the loans carried an average interest rate of 13.5%, reflecting the overall lending landscape during the year.</w:t>
      </w:r>
    </w:p>
    <w:p w14:paraId="78F37220"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t xml:space="preserve">From a structural perspective, 60-month loans dominate the portfolio, making up 62.3% of the amount received, while 36-month loans account for 37.7%. By loan purpose, Debt Consolidation is the largest category ($0.25B), followed by Credit Card ($0.07B) and Home Improvement ($0.04B). Recovery on bad loans is relatively robust at 57%, with $37.3M collected against $65.5M funded, though this results in a loss given default (LGD) of $28.2M. The gross portfolio </w:t>
      </w:r>
      <w:r w:rsidRPr="004740EE">
        <w:rPr>
          <w:rFonts w:ascii="Times New Roman" w:hAnsi="Times New Roman" w:cs="Times New Roman"/>
          <w:color w:val="000000" w:themeColor="text1"/>
        </w:rPr>
        <w:lastRenderedPageBreak/>
        <w:t>yield stands at 8.6%, reflecting a profitable and growing loan book, though risk concentration in long-tenor loans and specific purposes creates vulnerabilities.</w:t>
      </w:r>
    </w:p>
    <w:p w14:paraId="2E6E2259"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pict w14:anchorId="6F79CEA1">
          <v:rect id="_x0000_i1097" style="width:0;height:1.5pt" o:hralign="center" o:hrstd="t" o:hr="t" fillcolor="#a0a0a0" stroked="f"/>
        </w:pict>
      </w:r>
    </w:p>
    <w:p w14:paraId="52287963" w14:textId="77777777" w:rsidR="004740EE" w:rsidRPr="004740EE" w:rsidRDefault="004740EE" w:rsidP="004740EE">
      <w:pPr>
        <w:rPr>
          <w:rFonts w:ascii="Times New Roman" w:hAnsi="Times New Roman" w:cs="Times New Roman"/>
          <w:b/>
          <w:bCs/>
          <w:color w:val="000000" w:themeColor="text1"/>
        </w:rPr>
      </w:pPr>
      <w:r w:rsidRPr="004740EE">
        <w:rPr>
          <w:rFonts w:ascii="Times New Roman" w:hAnsi="Times New Roman" w:cs="Times New Roman"/>
          <w:b/>
          <w:bCs/>
          <w:color w:val="000000" w:themeColor="text1"/>
        </w:rPr>
        <w:t>Business Problem</w:t>
      </w:r>
    </w:p>
    <w:p w14:paraId="75C5A89F"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t>Effective loan portfolio management is critical for sustaining profitability and reducing risk in the banking and financial industry. Banks must ensure they are not incurring losses due to high default rates, risky borrower profiles, or inefficient lending practices.</w:t>
      </w:r>
    </w:p>
    <w:p w14:paraId="3AE2DDEA"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t xml:space="preserve">The objective of this project is to analyze the bank’s loan portfolio </w:t>
      </w:r>
      <w:proofErr w:type="gramStart"/>
      <w:r w:rsidRPr="004740EE">
        <w:rPr>
          <w:rFonts w:ascii="Times New Roman" w:hAnsi="Times New Roman" w:cs="Times New Roman"/>
          <w:color w:val="000000" w:themeColor="text1"/>
        </w:rPr>
        <w:t>in order to</w:t>
      </w:r>
      <w:proofErr w:type="gramEnd"/>
      <w:r w:rsidRPr="004740EE">
        <w:rPr>
          <w:rFonts w:ascii="Times New Roman" w:hAnsi="Times New Roman" w:cs="Times New Roman"/>
          <w:color w:val="000000" w:themeColor="text1"/>
        </w:rPr>
        <w:t xml:space="preserve"> identify key factors influencing borrower repayment behavior and loan defaults. By examining borrower characteristics such as debt-to-income ratio, annual income, credit grade, loan term, and loan purpose, the analysis aims to uncover risk patterns and performance trends. The </w:t>
      </w:r>
      <w:proofErr w:type="gramStart"/>
      <w:r w:rsidRPr="004740EE">
        <w:rPr>
          <w:rFonts w:ascii="Times New Roman" w:hAnsi="Times New Roman" w:cs="Times New Roman"/>
          <w:color w:val="000000" w:themeColor="text1"/>
        </w:rPr>
        <w:t>ultimate goal</w:t>
      </w:r>
      <w:proofErr w:type="gramEnd"/>
      <w:r w:rsidRPr="004740EE">
        <w:rPr>
          <w:rFonts w:ascii="Times New Roman" w:hAnsi="Times New Roman" w:cs="Times New Roman"/>
          <w:color w:val="000000" w:themeColor="text1"/>
        </w:rPr>
        <w:t xml:space="preserve"> is to provide actionable insights that enable the bank to strengthen credit risk management, minimize default rates, and enhance overall profitability through data-driven decision-making.</w:t>
      </w:r>
    </w:p>
    <w:p w14:paraId="2C68211E"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pict w14:anchorId="2EF8E71B">
          <v:rect id="_x0000_i1098" style="width:0;height:1.5pt" o:hralign="center" o:hrstd="t" o:hr="t" fillcolor="#a0a0a0" stroked="f"/>
        </w:pict>
      </w:r>
    </w:p>
    <w:p w14:paraId="31CB3DD6" w14:textId="77777777" w:rsidR="004740EE" w:rsidRPr="004740EE" w:rsidRDefault="004740EE" w:rsidP="004740EE">
      <w:pPr>
        <w:rPr>
          <w:rFonts w:ascii="Times New Roman" w:hAnsi="Times New Roman" w:cs="Times New Roman"/>
          <w:b/>
          <w:bCs/>
          <w:color w:val="000000" w:themeColor="text1"/>
        </w:rPr>
      </w:pPr>
      <w:r w:rsidRPr="004740EE">
        <w:rPr>
          <w:rFonts w:ascii="Times New Roman" w:hAnsi="Times New Roman" w:cs="Times New Roman"/>
          <w:b/>
          <w:bCs/>
          <w:color w:val="000000" w:themeColor="text1"/>
        </w:rPr>
        <w:t>Dataset</w:t>
      </w:r>
    </w:p>
    <w:p w14:paraId="5D100E96"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t>The dataset used for this analysis comprises loan application records from the bank's internal systems. It includes various borrower attributes, loan details, and repayment outcomes.</w:t>
      </w:r>
    </w:p>
    <w:p w14:paraId="4C0C7425"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b/>
          <w:bCs/>
          <w:color w:val="000000" w:themeColor="text1"/>
        </w:rPr>
        <w:t>Key features of the dataset include:</w:t>
      </w:r>
    </w:p>
    <w:p w14:paraId="14D09F9D" w14:textId="77777777" w:rsidR="004740EE" w:rsidRPr="004740EE" w:rsidRDefault="004740EE" w:rsidP="004740EE">
      <w:pPr>
        <w:numPr>
          <w:ilvl w:val="0"/>
          <w:numId w:val="7"/>
        </w:numPr>
        <w:rPr>
          <w:rFonts w:ascii="Times New Roman" w:hAnsi="Times New Roman" w:cs="Times New Roman"/>
          <w:color w:val="000000" w:themeColor="text1"/>
        </w:rPr>
      </w:pPr>
      <w:r w:rsidRPr="004740EE">
        <w:rPr>
          <w:rFonts w:ascii="Times New Roman" w:hAnsi="Times New Roman" w:cs="Times New Roman"/>
          <w:color w:val="000000" w:themeColor="text1"/>
        </w:rPr>
        <w:t>Borrower ID</w:t>
      </w:r>
    </w:p>
    <w:p w14:paraId="2287FA4B" w14:textId="77777777" w:rsidR="004740EE" w:rsidRPr="004740EE" w:rsidRDefault="004740EE" w:rsidP="004740EE">
      <w:pPr>
        <w:numPr>
          <w:ilvl w:val="0"/>
          <w:numId w:val="7"/>
        </w:numPr>
        <w:rPr>
          <w:rFonts w:ascii="Times New Roman" w:hAnsi="Times New Roman" w:cs="Times New Roman"/>
          <w:color w:val="000000" w:themeColor="text1"/>
        </w:rPr>
      </w:pPr>
      <w:r w:rsidRPr="004740EE">
        <w:rPr>
          <w:rFonts w:ascii="Times New Roman" w:hAnsi="Times New Roman" w:cs="Times New Roman"/>
          <w:color w:val="000000" w:themeColor="text1"/>
        </w:rPr>
        <w:t>Loan Amount</w:t>
      </w:r>
    </w:p>
    <w:p w14:paraId="5599C1D2" w14:textId="77777777" w:rsidR="004740EE" w:rsidRPr="004740EE" w:rsidRDefault="004740EE" w:rsidP="004740EE">
      <w:pPr>
        <w:numPr>
          <w:ilvl w:val="0"/>
          <w:numId w:val="7"/>
        </w:numPr>
        <w:rPr>
          <w:rFonts w:ascii="Times New Roman" w:hAnsi="Times New Roman" w:cs="Times New Roman"/>
          <w:color w:val="000000" w:themeColor="text1"/>
        </w:rPr>
      </w:pPr>
      <w:r w:rsidRPr="004740EE">
        <w:rPr>
          <w:rFonts w:ascii="Times New Roman" w:hAnsi="Times New Roman" w:cs="Times New Roman"/>
          <w:color w:val="000000" w:themeColor="text1"/>
        </w:rPr>
        <w:t>Interest Rate</w:t>
      </w:r>
    </w:p>
    <w:p w14:paraId="06AD866F" w14:textId="77777777" w:rsidR="004740EE" w:rsidRPr="004740EE" w:rsidRDefault="004740EE" w:rsidP="004740EE">
      <w:pPr>
        <w:numPr>
          <w:ilvl w:val="0"/>
          <w:numId w:val="7"/>
        </w:numPr>
        <w:rPr>
          <w:rFonts w:ascii="Times New Roman" w:hAnsi="Times New Roman" w:cs="Times New Roman"/>
          <w:color w:val="000000" w:themeColor="text1"/>
        </w:rPr>
      </w:pPr>
      <w:r w:rsidRPr="004740EE">
        <w:rPr>
          <w:rFonts w:ascii="Times New Roman" w:hAnsi="Times New Roman" w:cs="Times New Roman"/>
          <w:color w:val="000000" w:themeColor="text1"/>
        </w:rPr>
        <w:t>Loan Term</w:t>
      </w:r>
    </w:p>
    <w:p w14:paraId="4A0B0E71" w14:textId="77777777" w:rsidR="004740EE" w:rsidRPr="004740EE" w:rsidRDefault="004740EE" w:rsidP="004740EE">
      <w:pPr>
        <w:numPr>
          <w:ilvl w:val="0"/>
          <w:numId w:val="7"/>
        </w:numPr>
        <w:rPr>
          <w:rFonts w:ascii="Times New Roman" w:hAnsi="Times New Roman" w:cs="Times New Roman"/>
          <w:color w:val="000000" w:themeColor="text1"/>
        </w:rPr>
      </w:pPr>
      <w:r w:rsidRPr="004740EE">
        <w:rPr>
          <w:rFonts w:ascii="Times New Roman" w:hAnsi="Times New Roman" w:cs="Times New Roman"/>
          <w:color w:val="000000" w:themeColor="text1"/>
        </w:rPr>
        <w:t>Debt-to-Income Ratio</w:t>
      </w:r>
    </w:p>
    <w:p w14:paraId="2535CEC8" w14:textId="77777777" w:rsidR="004740EE" w:rsidRPr="004740EE" w:rsidRDefault="004740EE" w:rsidP="004740EE">
      <w:pPr>
        <w:numPr>
          <w:ilvl w:val="0"/>
          <w:numId w:val="7"/>
        </w:numPr>
        <w:rPr>
          <w:rFonts w:ascii="Times New Roman" w:hAnsi="Times New Roman" w:cs="Times New Roman"/>
          <w:color w:val="000000" w:themeColor="text1"/>
        </w:rPr>
      </w:pPr>
      <w:r w:rsidRPr="004740EE">
        <w:rPr>
          <w:rFonts w:ascii="Times New Roman" w:hAnsi="Times New Roman" w:cs="Times New Roman"/>
          <w:color w:val="000000" w:themeColor="text1"/>
        </w:rPr>
        <w:t>Credit Grade</w:t>
      </w:r>
    </w:p>
    <w:p w14:paraId="1C4A9E4F" w14:textId="77777777" w:rsidR="004740EE" w:rsidRPr="004740EE" w:rsidRDefault="004740EE" w:rsidP="004740EE">
      <w:pPr>
        <w:numPr>
          <w:ilvl w:val="0"/>
          <w:numId w:val="7"/>
        </w:numPr>
        <w:rPr>
          <w:rFonts w:ascii="Times New Roman" w:hAnsi="Times New Roman" w:cs="Times New Roman"/>
          <w:color w:val="000000" w:themeColor="text1"/>
        </w:rPr>
      </w:pPr>
      <w:r w:rsidRPr="004740EE">
        <w:rPr>
          <w:rFonts w:ascii="Times New Roman" w:hAnsi="Times New Roman" w:cs="Times New Roman"/>
          <w:color w:val="000000" w:themeColor="text1"/>
        </w:rPr>
        <w:t>Employment Title</w:t>
      </w:r>
    </w:p>
    <w:p w14:paraId="75A7F365" w14:textId="77777777" w:rsidR="004740EE" w:rsidRPr="004740EE" w:rsidRDefault="004740EE" w:rsidP="004740EE">
      <w:pPr>
        <w:numPr>
          <w:ilvl w:val="0"/>
          <w:numId w:val="7"/>
        </w:numPr>
        <w:rPr>
          <w:rFonts w:ascii="Times New Roman" w:hAnsi="Times New Roman" w:cs="Times New Roman"/>
          <w:color w:val="000000" w:themeColor="text1"/>
        </w:rPr>
      </w:pPr>
      <w:r w:rsidRPr="004740EE">
        <w:rPr>
          <w:rFonts w:ascii="Times New Roman" w:hAnsi="Times New Roman" w:cs="Times New Roman"/>
          <w:color w:val="000000" w:themeColor="text1"/>
        </w:rPr>
        <w:t>Annual Income</w:t>
      </w:r>
    </w:p>
    <w:p w14:paraId="47315A75" w14:textId="77777777" w:rsidR="004740EE" w:rsidRPr="004740EE" w:rsidRDefault="004740EE" w:rsidP="004740EE">
      <w:pPr>
        <w:numPr>
          <w:ilvl w:val="0"/>
          <w:numId w:val="7"/>
        </w:numPr>
        <w:rPr>
          <w:rFonts w:ascii="Times New Roman" w:hAnsi="Times New Roman" w:cs="Times New Roman"/>
          <w:color w:val="000000" w:themeColor="text1"/>
        </w:rPr>
      </w:pPr>
      <w:r w:rsidRPr="004740EE">
        <w:rPr>
          <w:rFonts w:ascii="Times New Roman" w:hAnsi="Times New Roman" w:cs="Times New Roman"/>
          <w:color w:val="000000" w:themeColor="text1"/>
        </w:rPr>
        <w:t>Loan Purpose</w:t>
      </w:r>
    </w:p>
    <w:p w14:paraId="4B682294" w14:textId="77777777" w:rsidR="004740EE" w:rsidRPr="004740EE" w:rsidRDefault="004740EE" w:rsidP="004740EE">
      <w:pPr>
        <w:numPr>
          <w:ilvl w:val="0"/>
          <w:numId w:val="7"/>
        </w:numPr>
        <w:rPr>
          <w:rFonts w:ascii="Times New Roman" w:hAnsi="Times New Roman" w:cs="Times New Roman"/>
          <w:color w:val="000000" w:themeColor="text1"/>
        </w:rPr>
      </w:pPr>
      <w:r w:rsidRPr="004740EE">
        <w:rPr>
          <w:rFonts w:ascii="Times New Roman" w:hAnsi="Times New Roman" w:cs="Times New Roman"/>
          <w:color w:val="000000" w:themeColor="text1"/>
        </w:rPr>
        <w:t>Loan Status</w:t>
      </w:r>
    </w:p>
    <w:p w14:paraId="75036D11"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pict w14:anchorId="1DC6D0F3">
          <v:rect id="_x0000_i1099" style="width:0;height:1.5pt" o:hralign="center" o:hrstd="t" o:hr="t" fillcolor="#a0a0a0" stroked="f"/>
        </w:pict>
      </w:r>
    </w:p>
    <w:p w14:paraId="1F7C1532" w14:textId="77777777" w:rsidR="004740EE" w:rsidRPr="004740EE" w:rsidRDefault="004740EE" w:rsidP="004740EE">
      <w:pPr>
        <w:rPr>
          <w:rFonts w:ascii="Times New Roman" w:hAnsi="Times New Roman" w:cs="Times New Roman"/>
          <w:b/>
          <w:bCs/>
          <w:color w:val="000000" w:themeColor="text1"/>
        </w:rPr>
      </w:pPr>
      <w:r w:rsidRPr="004740EE">
        <w:rPr>
          <w:rFonts w:ascii="Times New Roman" w:hAnsi="Times New Roman" w:cs="Times New Roman"/>
          <w:b/>
          <w:bCs/>
          <w:color w:val="000000" w:themeColor="text1"/>
        </w:rPr>
        <w:t>Tools &amp; Technologies</w:t>
      </w:r>
    </w:p>
    <w:p w14:paraId="7645E7EB"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lastRenderedPageBreak/>
        <w:t>The following tools and technologies were utilized in this project:</w:t>
      </w:r>
    </w:p>
    <w:p w14:paraId="72DF0A85" w14:textId="77777777" w:rsidR="004740EE" w:rsidRPr="004740EE" w:rsidRDefault="004740EE" w:rsidP="004740EE">
      <w:pPr>
        <w:numPr>
          <w:ilvl w:val="0"/>
          <w:numId w:val="8"/>
        </w:numPr>
        <w:rPr>
          <w:rFonts w:ascii="Times New Roman" w:hAnsi="Times New Roman" w:cs="Times New Roman"/>
          <w:color w:val="000000" w:themeColor="text1"/>
        </w:rPr>
      </w:pPr>
      <w:r w:rsidRPr="004740EE">
        <w:rPr>
          <w:rFonts w:ascii="Times New Roman" w:hAnsi="Times New Roman" w:cs="Times New Roman"/>
          <w:color w:val="000000" w:themeColor="text1"/>
        </w:rPr>
        <w:t>SQL (Common Table Expression, Joins, Filtering)</w:t>
      </w:r>
    </w:p>
    <w:p w14:paraId="71A37CBC" w14:textId="77777777" w:rsidR="004740EE" w:rsidRPr="004740EE" w:rsidRDefault="004740EE" w:rsidP="004740EE">
      <w:pPr>
        <w:numPr>
          <w:ilvl w:val="0"/>
          <w:numId w:val="8"/>
        </w:numPr>
        <w:rPr>
          <w:rFonts w:ascii="Times New Roman" w:hAnsi="Times New Roman" w:cs="Times New Roman"/>
          <w:color w:val="000000" w:themeColor="text1"/>
        </w:rPr>
      </w:pPr>
      <w:r w:rsidRPr="004740EE">
        <w:rPr>
          <w:rFonts w:ascii="Times New Roman" w:hAnsi="Times New Roman" w:cs="Times New Roman"/>
          <w:color w:val="000000" w:themeColor="text1"/>
        </w:rPr>
        <w:t>Power BI (Interactive Data Visualization)</w:t>
      </w:r>
    </w:p>
    <w:p w14:paraId="27F53235" w14:textId="77777777" w:rsidR="004740EE" w:rsidRPr="004740EE" w:rsidRDefault="004740EE" w:rsidP="004740EE">
      <w:pPr>
        <w:numPr>
          <w:ilvl w:val="0"/>
          <w:numId w:val="8"/>
        </w:numPr>
        <w:rPr>
          <w:rFonts w:ascii="Times New Roman" w:hAnsi="Times New Roman" w:cs="Times New Roman"/>
          <w:color w:val="000000" w:themeColor="text1"/>
        </w:rPr>
      </w:pPr>
      <w:r w:rsidRPr="004740EE">
        <w:rPr>
          <w:rFonts w:ascii="Times New Roman" w:hAnsi="Times New Roman" w:cs="Times New Roman"/>
          <w:color w:val="000000" w:themeColor="text1"/>
        </w:rPr>
        <w:t>GitHub (Version Control and Collaboration)</w:t>
      </w:r>
    </w:p>
    <w:p w14:paraId="0493E31D"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pict w14:anchorId="6F4AC175">
          <v:rect id="_x0000_i1100" style="width:0;height:1.5pt" o:hralign="center" o:hrstd="t" o:hr="t" fillcolor="#a0a0a0" stroked="f"/>
        </w:pict>
      </w:r>
    </w:p>
    <w:p w14:paraId="387C8A6E" w14:textId="77777777" w:rsidR="004740EE" w:rsidRPr="004740EE" w:rsidRDefault="004740EE" w:rsidP="004740EE">
      <w:pPr>
        <w:rPr>
          <w:rFonts w:ascii="Times New Roman" w:hAnsi="Times New Roman" w:cs="Times New Roman"/>
          <w:b/>
          <w:bCs/>
          <w:color w:val="000000" w:themeColor="text1"/>
        </w:rPr>
      </w:pPr>
      <w:r w:rsidRPr="004740EE">
        <w:rPr>
          <w:rFonts w:ascii="Times New Roman" w:hAnsi="Times New Roman" w:cs="Times New Roman"/>
          <w:b/>
          <w:bCs/>
          <w:color w:val="000000" w:themeColor="text1"/>
        </w:rPr>
        <w:t>Project Structure</w:t>
      </w:r>
    </w:p>
    <w:p w14:paraId="1CD76EF6"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t>The project follows a structured directory layout to organize the various components effectively.</w:t>
      </w:r>
    </w:p>
    <w:p w14:paraId="0FC89469"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b/>
          <w:bCs/>
          <w:color w:val="000000" w:themeColor="text1"/>
        </w:rPr>
        <w:t>Structure:</w:t>
      </w:r>
    </w:p>
    <w:p w14:paraId="1CF226BC" w14:textId="77777777" w:rsidR="004740EE" w:rsidRPr="004740EE" w:rsidRDefault="004740EE" w:rsidP="004740EE">
      <w:pPr>
        <w:numPr>
          <w:ilvl w:val="0"/>
          <w:numId w:val="9"/>
        </w:numPr>
        <w:rPr>
          <w:rFonts w:ascii="Times New Roman" w:hAnsi="Times New Roman" w:cs="Times New Roman"/>
          <w:color w:val="000000" w:themeColor="text1"/>
        </w:rPr>
      </w:pPr>
      <w:r w:rsidRPr="004740EE">
        <w:rPr>
          <w:rFonts w:ascii="Times New Roman" w:hAnsi="Times New Roman" w:cs="Times New Roman"/>
          <w:color w:val="000000" w:themeColor="text1"/>
        </w:rPr>
        <w:t>README.md</w:t>
      </w:r>
    </w:p>
    <w:p w14:paraId="10C4C2AE" w14:textId="77777777" w:rsidR="004740EE" w:rsidRPr="004740EE" w:rsidRDefault="004740EE" w:rsidP="004740EE">
      <w:pPr>
        <w:numPr>
          <w:ilvl w:val="0"/>
          <w:numId w:val="9"/>
        </w:numPr>
        <w:rPr>
          <w:rFonts w:ascii="Times New Roman" w:hAnsi="Times New Roman" w:cs="Times New Roman"/>
          <w:color w:val="000000" w:themeColor="text1"/>
        </w:rPr>
      </w:pPr>
      <w:proofErr w:type="gramStart"/>
      <w:r w:rsidRPr="004740EE">
        <w:rPr>
          <w:rFonts w:ascii="Times New Roman" w:hAnsi="Times New Roman" w:cs="Times New Roman"/>
          <w:color w:val="000000" w:themeColor="text1"/>
        </w:rPr>
        <w:t>.</w:t>
      </w:r>
      <w:proofErr w:type="spellStart"/>
      <w:r w:rsidRPr="004740EE">
        <w:rPr>
          <w:rFonts w:ascii="Times New Roman" w:hAnsi="Times New Roman" w:cs="Times New Roman"/>
          <w:color w:val="000000" w:themeColor="text1"/>
        </w:rPr>
        <w:t>gitignore</w:t>
      </w:r>
      <w:proofErr w:type="spellEnd"/>
      <w:proofErr w:type="gramEnd"/>
    </w:p>
    <w:p w14:paraId="676D5284" w14:textId="77777777" w:rsidR="004740EE" w:rsidRPr="004740EE" w:rsidRDefault="004740EE" w:rsidP="004740EE">
      <w:pPr>
        <w:numPr>
          <w:ilvl w:val="0"/>
          <w:numId w:val="9"/>
        </w:numPr>
        <w:rPr>
          <w:rFonts w:ascii="Times New Roman" w:hAnsi="Times New Roman" w:cs="Times New Roman"/>
          <w:color w:val="000000" w:themeColor="text1"/>
        </w:rPr>
      </w:pPr>
      <w:r w:rsidRPr="004740EE">
        <w:rPr>
          <w:rFonts w:ascii="Times New Roman" w:hAnsi="Times New Roman" w:cs="Times New Roman"/>
          <w:color w:val="000000" w:themeColor="text1"/>
        </w:rPr>
        <w:t>Bank Loan Analysis Report.pdf</w:t>
      </w:r>
    </w:p>
    <w:p w14:paraId="680392D4" w14:textId="77777777" w:rsidR="004740EE" w:rsidRPr="004740EE" w:rsidRDefault="004740EE" w:rsidP="004740EE">
      <w:pPr>
        <w:numPr>
          <w:ilvl w:val="0"/>
          <w:numId w:val="9"/>
        </w:numPr>
        <w:rPr>
          <w:rFonts w:ascii="Times New Roman" w:hAnsi="Times New Roman" w:cs="Times New Roman"/>
          <w:color w:val="000000" w:themeColor="text1"/>
        </w:rPr>
      </w:pPr>
      <w:proofErr w:type="spellStart"/>
      <w:r w:rsidRPr="004740EE">
        <w:rPr>
          <w:rFonts w:ascii="Times New Roman" w:hAnsi="Times New Roman" w:cs="Times New Roman"/>
          <w:color w:val="000000" w:themeColor="text1"/>
        </w:rPr>
        <w:t>Bank_loan_Analysis_SQL</w:t>
      </w:r>
      <w:proofErr w:type="spellEnd"/>
      <w:r w:rsidRPr="004740EE">
        <w:rPr>
          <w:rFonts w:ascii="Times New Roman" w:hAnsi="Times New Roman" w:cs="Times New Roman"/>
          <w:color w:val="000000" w:themeColor="text1"/>
        </w:rPr>
        <w:t>/ (SQL queries and solutions)</w:t>
      </w:r>
    </w:p>
    <w:p w14:paraId="6C24B909" w14:textId="77777777" w:rsidR="004740EE" w:rsidRPr="004740EE" w:rsidRDefault="004740EE" w:rsidP="004740EE">
      <w:pPr>
        <w:numPr>
          <w:ilvl w:val="0"/>
          <w:numId w:val="9"/>
        </w:numPr>
        <w:rPr>
          <w:rFonts w:ascii="Times New Roman" w:hAnsi="Times New Roman" w:cs="Times New Roman"/>
          <w:color w:val="000000" w:themeColor="text1"/>
        </w:rPr>
      </w:pPr>
      <w:r w:rsidRPr="004740EE">
        <w:rPr>
          <w:rFonts w:ascii="Times New Roman" w:hAnsi="Times New Roman" w:cs="Times New Roman"/>
          <w:color w:val="000000" w:themeColor="text1"/>
        </w:rPr>
        <w:t>dashboard/ (Power BI dashboard file)</w:t>
      </w:r>
    </w:p>
    <w:p w14:paraId="57DB8F4C" w14:textId="77777777" w:rsidR="004740EE" w:rsidRPr="004740EE" w:rsidRDefault="004740EE" w:rsidP="004740EE">
      <w:pPr>
        <w:numPr>
          <w:ilvl w:val="0"/>
          <w:numId w:val="9"/>
        </w:numPr>
        <w:rPr>
          <w:rFonts w:ascii="Times New Roman" w:hAnsi="Times New Roman" w:cs="Times New Roman"/>
          <w:color w:val="000000" w:themeColor="text1"/>
        </w:rPr>
      </w:pPr>
      <w:r w:rsidRPr="004740EE">
        <w:rPr>
          <w:rFonts w:ascii="Times New Roman" w:hAnsi="Times New Roman" w:cs="Times New Roman"/>
          <w:color w:val="000000" w:themeColor="text1"/>
        </w:rPr>
        <w:t xml:space="preserve">Bank Loan Analysis </w:t>
      </w:r>
      <w:proofErr w:type="spellStart"/>
      <w:r w:rsidRPr="004740EE">
        <w:rPr>
          <w:rFonts w:ascii="Times New Roman" w:hAnsi="Times New Roman" w:cs="Times New Roman"/>
          <w:color w:val="000000" w:themeColor="text1"/>
        </w:rPr>
        <w:t>Project.pbix</w:t>
      </w:r>
      <w:proofErr w:type="spellEnd"/>
    </w:p>
    <w:p w14:paraId="1D15285C"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pict w14:anchorId="21EC94C6">
          <v:rect id="_x0000_i1101" style="width:0;height:1.5pt" o:hralign="center" o:hrstd="t" o:hr="t" fillcolor="#a0a0a0" stroked="f"/>
        </w:pict>
      </w:r>
    </w:p>
    <w:p w14:paraId="4FBA0B6A" w14:textId="77777777" w:rsidR="004740EE" w:rsidRPr="004740EE" w:rsidRDefault="004740EE" w:rsidP="004740EE">
      <w:pPr>
        <w:rPr>
          <w:rFonts w:ascii="Times New Roman" w:hAnsi="Times New Roman" w:cs="Times New Roman"/>
          <w:b/>
          <w:bCs/>
          <w:color w:val="000000" w:themeColor="text1"/>
        </w:rPr>
      </w:pPr>
      <w:r w:rsidRPr="004740EE">
        <w:rPr>
          <w:rFonts w:ascii="Times New Roman" w:hAnsi="Times New Roman" w:cs="Times New Roman"/>
          <w:b/>
          <w:bCs/>
          <w:color w:val="000000" w:themeColor="text1"/>
        </w:rPr>
        <w:t>Key Portfolio Insights</w:t>
      </w:r>
    </w:p>
    <w:p w14:paraId="2F54D1FA"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b/>
          <w:bCs/>
          <w:color w:val="000000" w:themeColor="text1"/>
        </w:rPr>
        <w:t>Loan Status</w:t>
      </w:r>
      <w:r w:rsidRPr="004740EE">
        <w:rPr>
          <w:rFonts w:ascii="Times New Roman" w:hAnsi="Times New Roman" w:cs="Times New Roman"/>
          <w:color w:val="000000" w:themeColor="text1"/>
        </w:rPr>
        <w:br/>
        <w:t>The loan status distribution provides further insight into portfolio health. Currently, there are 1,098 active loans with $18.9M funded and $24.2M received. Charged-off loans total 5,333, with $65.5M funded and $37.3M received. Fully paid loans are the majority at 32,145, representing $351.4M funded and $411.6M received. This equates to a default rate of 13.8% by count.</w:t>
      </w:r>
    </w:p>
    <w:p w14:paraId="64082FF2"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b/>
          <w:bCs/>
          <w:color w:val="000000" w:themeColor="text1"/>
        </w:rPr>
        <w:t>Risk Drivers</w:t>
      </w:r>
      <w:r w:rsidRPr="004740EE">
        <w:rPr>
          <w:rFonts w:ascii="Times New Roman" w:hAnsi="Times New Roman" w:cs="Times New Roman"/>
          <w:color w:val="000000" w:themeColor="text1"/>
        </w:rPr>
        <w:br/>
        <w:t>The primary drivers of risk are longer-tenor loans, borrowers with higher DTI ratios, and riskier purposes such as small business and unsecured “other” categories. Borrowers with DTI above 15% represent elevated risk and should be managed with stricter eligibility or higher pricing.</w:t>
      </w:r>
    </w:p>
    <w:p w14:paraId="292445BC"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pict w14:anchorId="0C143FBB">
          <v:rect id="_x0000_i1102" style="width:0;height:1.5pt" o:hralign="center" o:hrstd="t" o:hr="t" fillcolor="#a0a0a0" stroked="f"/>
        </w:pict>
      </w:r>
    </w:p>
    <w:p w14:paraId="6F940992" w14:textId="77777777" w:rsidR="004740EE" w:rsidRPr="004740EE" w:rsidRDefault="004740EE" w:rsidP="004740EE">
      <w:pPr>
        <w:rPr>
          <w:rFonts w:ascii="Times New Roman" w:hAnsi="Times New Roman" w:cs="Times New Roman"/>
          <w:b/>
          <w:bCs/>
          <w:color w:val="000000" w:themeColor="text1"/>
        </w:rPr>
      </w:pPr>
      <w:r w:rsidRPr="004740EE">
        <w:rPr>
          <w:rFonts w:ascii="Times New Roman" w:hAnsi="Times New Roman" w:cs="Times New Roman"/>
          <w:b/>
          <w:bCs/>
          <w:color w:val="000000" w:themeColor="text1"/>
        </w:rPr>
        <w:t>Segmentation Insights</w:t>
      </w:r>
    </w:p>
    <w:p w14:paraId="1D4022CC"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b/>
          <w:bCs/>
          <w:color w:val="000000" w:themeColor="text1"/>
        </w:rPr>
        <w:t>By Purpose</w:t>
      </w:r>
      <w:r w:rsidRPr="004740EE">
        <w:rPr>
          <w:rFonts w:ascii="Times New Roman" w:hAnsi="Times New Roman" w:cs="Times New Roman"/>
          <w:color w:val="000000" w:themeColor="text1"/>
        </w:rPr>
        <w:br/>
        <w:t xml:space="preserve">Debt Consolidation dominates receipts but poses concentration risk. If underwriting weakens, </w:t>
      </w:r>
      <w:r w:rsidRPr="004740EE">
        <w:rPr>
          <w:rFonts w:ascii="Times New Roman" w:hAnsi="Times New Roman" w:cs="Times New Roman"/>
          <w:color w:val="000000" w:themeColor="text1"/>
        </w:rPr>
        <w:lastRenderedPageBreak/>
        <w:t>defaults could increase significantly. Credit Card and Home Improvement loans are secondary contributors but also warrant close monitoring.</w:t>
      </w:r>
    </w:p>
    <w:p w14:paraId="4083B038"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b/>
          <w:bCs/>
          <w:color w:val="000000" w:themeColor="text1"/>
        </w:rPr>
        <w:t>By Employment Length</w:t>
      </w:r>
      <w:r w:rsidRPr="004740EE">
        <w:rPr>
          <w:rFonts w:ascii="Times New Roman" w:hAnsi="Times New Roman" w:cs="Times New Roman"/>
          <w:color w:val="000000" w:themeColor="text1"/>
        </w:rPr>
        <w:br/>
        <w:t>Borrowers with stable employment histories, particularly 10+ years, show stronger repayment performance, contributing $126M in receipts. Borrowers with less than 1 year of tenure are riskier and should be subject to tighter underwriting.</w:t>
      </w:r>
    </w:p>
    <w:p w14:paraId="170C3275"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b/>
          <w:bCs/>
          <w:color w:val="000000" w:themeColor="text1"/>
        </w:rPr>
        <w:t>By Term</w:t>
      </w:r>
      <w:r w:rsidRPr="004740EE">
        <w:rPr>
          <w:rFonts w:ascii="Times New Roman" w:hAnsi="Times New Roman" w:cs="Times New Roman"/>
          <w:color w:val="000000" w:themeColor="text1"/>
        </w:rPr>
        <w:br/>
        <w:t xml:space="preserve">Long-term (60-month) loans account for </w:t>
      </w:r>
      <w:proofErr w:type="gramStart"/>
      <w:r w:rsidRPr="004740EE">
        <w:rPr>
          <w:rFonts w:ascii="Times New Roman" w:hAnsi="Times New Roman" w:cs="Times New Roman"/>
          <w:color w:val="000000" w:themeColor="text1"/>
        </w:rPr>
        <w:t>the majority of</w:t>
      </w:r>
      <w:proofErr w:type="gramEnd"/>
      <w:r w:rsidRPr="004740EE">
        <w:rPr>
          <w:rFonts w:ascii="Times New Roman" w:hAnsi="Times New Roman" w:cs="Times New Roman"/>
          <w:color w:val="000000" w:themeColor="text1"/>
        </w:rPr>
        <w:t xml:space="preserve"> receipts but create greater duration and LGD risk compared to 36-month loans. Shifting a portion of growth to shorter terms can mitigate these risks.</w:t>
      </w:r>
    </w:p>
    <w:p w14:paraId="49F86B60"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pict w14:anchorId="7FDDAD90">
          <v:rect id="_x0000_i1103" style="width:0;height:1.5pt" o:hralign="center" o:hrstd="t" o:hr="t" fillcolor="#a0a0a0" stroked="f"/>
        </w:pict>
      </w:r>
    </w:p>
    <w:p w14:paraId="5A3C168B" w14:textId="77777777" w:rsidR="004740EE" w:rsidRPr="004740EE" w:rsidRDefault="004740EE" w:rsidP="004740EE">
      <w:pPr>
        <w:rPr>
          <w:rFonts w:ascii="Times New Roman" w:hAnsi="Times New Roman" w:cs="Times New Roman"/>
          <w:b/>
          <w:bCs/>
          <w:color w:val="000000" w:themeColor="text1"/>
        </w:rPr>
      </w:pPr>
      <w:r w:rsidRPr="004740EE">
        <w:rPr>
          <w:rFonts w:ascii="Times New Roman" w:hAnsi="Times New Roman" w:cs="Times New Roman"/>
          <w:b/>
          <w:bCs/>
          <w:color w:val="000000" w:themeColor="text1"/>
        </w:rPr>
        <w:t>Trend Analysis</w:t>
      </w:r>
    </w:p>
    <w:p w14:paraId="4E39B613"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b/>
          <w:bCs/>
          <w:color w:val="000000" w:themeColor="text1"/>
        </w:rPr>
        <w:t>Growth Overview</w:t>
      </w:r>
      <w:r w:rsidRPr="004740EE">
        <w:rPr>
          <w:rFonts w:ascii="Times New Roman" w:hAnsi="Times New Roman" w:cs="Times New Roman"/>
          <w:color w:val="000000" w:themeColor="text1"/>
        </w:rPr>
        <w:br/>
        <w:t>Loan receipts have shown a significant upward trajectory over the year, starting at $28M in January and rising to $58M in December. This represents an absolute increase of $30M and a percentage growth of approximately 107% year-on-year. In other words, receipts more than doubled within the twelve-month period.</w:t>
      </w:r>
    </w:p>
    <w:p w14:paraId="170AE01B"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b/>
          <w:bCs/>
          <w:color w:val="000000" w:themeColor="text1"/>
        </w:rPr>
        <w:t>Monthly Growth Rate</w:t>
      </w:r>
      <w:r w:rsidRPr="004740EE">
        <w:rPr>
          <w:rFonts w:ascii="Times New Roman" w:hAnsi="Times New Roman" w:cs="Times New Roman"/>
          <w:color w:val="000000" w:themeColor="text1"/>
        </w:rPr>
        <w:br/>
        <w:t>The compounding monthly growth rate across this period is estimated at 6.3%. At this pace, receipts could potentially double every 12 months if sustained, underscoring the strong momentum within the portfolio.</w:t>
      </w:r>
    </w:p>
    <w:p w14:paraId="17442030"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b/>
          <w:bCs/>
          <w:color w:val="000000" w:themeColor="text1"/>
        </w:rPr>
        <w:t>Seasonal Patterns</w:t>
      </w:r>
      <w:r w:rsidRPr="004740EE">
        <w:rPr>
          <w:rFonts w:ascii="Times New Roman" w:hAnsi="Times New Roman" w:cs="Times New Roman"/>
          <w:color w:val="000000" w:themeColor="text1"/>
        </w:rPr>
        <w:br/>
        <w:t>There is evidence of seasonality in the data. Receipts remained modest in the first quarter ($28M–$32M), reflecting a slower lending cycle after the holiday season. However, inflows increased consistently throughout the year, with the highest volumes in the fourth quarter ($49M–$58M), aligning with higher borrowing and spending activity during the holiday and year-end period.</w:t>
      </w:r>
    </w:p>
    <w:p w14:paraId="2B9383A4"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pict w14:anchorId="76587C33">
          <v:rect id="_x0000_i1104" style="width:0;height:1.5pt" o:hralign="center" o:hrstd="t" o:hr="t" fillcolor="#a0a0a0" stroked="f"/>
        </w:pict>
      </w:r>
    </w:p>
    <w:p w14:paraId="552DF8E1" w14:textId="77777777" w:rsidR="004740EE" w:rsidRPr="004740EE" w:rsidRDefault="004740EE" w:rsidP="004740EE">
      <w:pPr>
        <w:rPr>
          <w:rFonts w:ascii="Times New Roman" w:hAnsi="Times New Roman" w:cs="Times New Roman"/>
          <w:b/>
          <w:bCs/>
          <w:color w:val="000000" w:themeColor="text1"/>
        </w:rPr>
      </w:pPr>
      <w:r w:rsidRPr="004740EE">
        <w:rPr>
          <w:rFonts w:ascii="Times New Roman" w:hAnsi="Times New Roman" w:cs="Times New Roman"/>
          <w:b/>
          <w:bCs/>
          <w:color w:val="000000" w:themeColor="text1"/>
        </w:rPr>
        <w:t>Recommendations for Management</w:t>
      </w:r>
    </w:p>
    <w:p w14:paraId="5FB1A275" w14:textId="77777777" w:rsidR="004740EE" w:rsidRPr="004740EE" w:rsidRDefault="004740EE" w:rsidP="004740EE">
      <w:pPr>
        <w:numPr>
          <w:ilvl w:val="0"/>
          <w:numId w:val="10"/>
        </w:numPr>
        <w:rPr>
          <w:rFonts w:ascii="Times New Roman" w:hAnsi="Times New Roman" w:cs="Times New Roman"/>
          <w:color w:val="000000" w:themeColor="text1"/>
        </w:rPr>
      </w:pPr>
      <w:r w:rsidRPr="004740EE">
        <w:rPr>
          <w:rFonts w:ascii="Times New Roman" w:hAnsi="Times New Roman" w:cs="Times New Roman"/>
          <w:b/>
          <w:bCs/>
          <w:color w:val="000000" w:themeColor="text1"/>
        </w:rPr>
        <w:t>Tighten Risk Controls:</w:t>
      </w:r>
      <w:r w:rsidRPr="004740EE">
        <w:rPr>
          <w:rFonts w:ascii="Times New Roman" w:hAnsi="Times New Roman" w:cs="Times New Roman"/>
          <w:color w:val="000000" w:themeColor="text1"/>
        </w:rPr>
        <w:t xml:space="preserve"> Limit 60-month exposures within each purpose and set stricter eligibility criteria for high-risk segments.</w:t>
      </w:r>
    </w:p>
    <w:p w14:paraId="3CB250B9" w14:textId="77777777" w:rsidR="004740EE" w:rsidRPr="004740EE" w:rsidRDefault="004740EE" w:rsidP="004740EE">
      <w:pPr>
        <w:numPr>
          <w:ilvl w:val="0"/>
          <w:numId w:val="10"/>
        </w:numPr>
        <w:rPr>
          <w:rFonts w:ascii="Times New Roman" w:hAnsi="Times New Roman" w:cs="Times New Roman"/>
          <w:color w:val="000000" w:themeColor="text1"/>
        </w:rPr>
      </w:pPr>
      <w:r w:rsidRPr="004740EE">
        <w:rPr>
          <w:rFonts w:ascii="Times New Roman" w:hAnsi="Times New Roman" w:cs="Times New Roman"/>
          <w:b/>
          <w:bCs/>
          <w:color w:val="000000" w:themeColor="text1"/>
        </w:rPr>
        <w:t>Dynamic Pricing:</w:t>
      </w:r>
      <w:r w:rsidRPr="004740EE">
        <w:rPr>
          <w:rFonts w:ascii="Times New Roman" w:hAnsi="Times New Roman" w:cs="Times New Roman"/>
          <w:color w:val="000000" w:themeColor="text1"/>
        </w:rPr>
        <w:t xml:space="preserve"> Implement grade-by-purpose price floors to achieve an 80–150 basis point uplift on riskier categories.</w:t>
      </w:r>
    </w:p>
    <w:p w14:paraId="1FCFAA77" w14:textId="77777777" w:rsidR="004740EE" w:rsidRPr="004740EE" w:rsidRDefault="004740EE" w:rsidP="004740EE">
      <w:pPr>
        <w:numPr>
          <w:ilvl w:val="0"/>
          <w:numId w:val="10"/>
        </w:numPr>
        <w:rPr>
          <w:rFonts w:ascii="Times New Roman" w:hAnsi="Times New Roman" w:cs="Times New Roman"/>
          <w:color w:val="000000" w:themeColor="text1"/>
        </w:rPr>
      </w:pPr>
      <w:r w:rsidRPr="004740EE">
        <w:rPr>
          <w:rFonts w:ascii="Times New Roman" w:hAnsi="Times New Roman" w:cs="Times New Roman"/>
          <w:b/>
          <w:bCs/>
          <w:color w:val="000000" w:themeColor="text1"/>
        </w:rPr>
        <w:lastRenderedPageBreak/>
        <w:t>Collections Improvement:</w:t>
      </w:r>
      <w:r w:rsidRPr="004740EE">
        <w:rPr>
          <w:rFonts w:ascii="Times New Roman" w:hAnsi="Times New Roman" w:cs="Times New Roman"/>
          <w:color w:val="000000" w:themeColor="text1"/>
        </w:rPr>
        <w:t xml:space="preserve"> Enhance collections processes to lift bad-loan recovery rates from 57% to at least 62%, adding an estimated $3.3M in incremental receipts.</w:t>
      </w:r>
    </w:p>
    <w:p w14:paraId="7CCB6839" w14:textId="77777777" w:rsidR="004740EE" w:rsidRPr="004740EE" w:rsidRDefault="004740EE" w:rsidP="004740EE">
      <w:pPr>
        <w:numPr>
          <w:ilvl w:val="0"/>
          <w:numId w:val="10"/>
        </w:numPr>
        <w:rPr>
          <w:rFonts w:ascii="Times New Roman" w:hAnsi="Times New Roman" w:cs="Times New Roman"/>
          <w:color w:val="000000" w:themeColor="text1"/>
        </w:rPr>
      </w:pPr>
      <w:r w:rsidRPr="004740EE">
        <w:rPr>
          <w:rFonts w:ascii="Times New Roman" w:hAnsi="Times New Roman" w:cs="Times New Roman"/>
          <w:b/>
          <w:bCs/>
          <w:color w:val="000000" w:themeColor="text1"/>
        </w:rPr>
        <w:t>Approval Discipline:</w:t>
      </w:r>
      <w:r w:rsidRPr="004740EE">
        <w:rPr>
          <w:rFonts w:ascii="Times New Roman" w:hAnsi="Times New Roman" w:cs="Times New Roman"/>
          <w:color w:val="000000" w:themeColor="text1"/>
        </w:rPr>
        <w:t xml:space="preserve"> Monitor approval rates and post-funding delinquency by channel, pausing underperforming channels.</w:t>
      </w:r>
    </w:p>
    <w:p w14:paraId="226A6079" w14:textId="77777777" w:rsidR="004740EE" w:rsidRPr="004740EE" w:rsidRDefault="004740EE" w:rsidP="004740EE">
      <w:pPr>
        <w:numPr>
          <w:ilvl w:val="0"/>
          <w:numId w:val="10"/>
        </w:numPr>
        <w:rPr>
          <w:rFonts w:ascii="Times New Roman" w:hAnsi="Times New Roman" w:cs="Times New Roman"/>
          <w:color w:val="000000" w:themeColor="text1"/>
        </w:rPr>
      </w:pPr>
      <w:r w:rsidRPr="004740EE">
        <w:rPr>
          <w:rFonts w:ascii="Times New Roman" w:hAnsi="Times New Roman" w:cs="Times New Roman"/>
          <w:b/>
          <w:bCs/>
          <w:color w:val="000000" w:themeColor="text1"/>
        </w:rPr>
        <w:t>Scorecard Refresh:</w:t>
      </w:r>
      <w:r w:rsidRPr="004740EE">
        <w:rPr>
          <w:rFonts w:ascii="Times New Roman" w:hAnsi="Times New Roman" w:cs="Times New Roman"/>
          <w:color w:val="000000" w:themeColor="text1"/>
        </w:rPr>
        <w:t xml:space="preserve"> Re-weight key features such as DTI, employment length, purpose, and term to improve predictive accuracy by 3–5%.</w:t>
      </w:r>
    </w:p>
    <w:p w14:paraId="6603CEE8"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color w:val="000000" w:themeColor="text1"/>
        </w:rPr>
        <w:pict w14:anchorId="3BA1995A">
          <v:rect id="_x0000_i1105" style="width:0;height:1.5pt" o:hralign="center" o:hrstd="t" o:hr="t" fillcolor="#a0a0a0" stroked="f"/>
        </w:pict>
      </w:r>
    </w:p>
    <w:p w14:paraId="3B258907" w14:textId="77777777" w:rsidR="004740EE" w:rsidRPr="004740EE" w:rsidRDefault="004740EE" w:rsidP="004740EE">
      <w:pPr>
        <w:rPr>
          <w:rFonts w:ascii="Times New Roman" w:hAnsi="Times New Roman" w:cs="Times New Roman"/>
          <w:b/>
          <w:bCs/>
          <w:color w:val="000000" w:themeColor="text1"/>
        </w:rPr>
      </w:pPr>
      <w:r w:rsidRPr="004740EE">
        <w:rPr>
          <w:rFonts w:ascii="Times New Roman" w:hAnsi="Times New Roman" w:cs="Times New Roman"/>
          <w:b/>
          <w:bCs/>
          <w:color w:val="000000" w:themeColor="text1"/>
        </w:rPr>
        <w:t>Author &amp; Contact</w:t>
      </w:r>
    </w:p>
    <w:p w14:paraId="2A0696DA" w14:textId="77777777" w:rsidR="004740EE" w:rsidRPr="004740EE" w:rsidRDefault="004740EE" w:rsidP="004740EE">
      <w:pPr>
        <w:rPr>
          <w:rFonts w:ascii="Times New Roman" w:hAnsi="Times New Roman" w:cs="Times New Roman"/>
          <w:color w:val="000000" w:themeColor="text1"/>
        </w:rPr>
      </w:pPr>
      <w:r w:rsidRPr="004740EE">
        <w:rPr>
          <w:rFonts w:ascii="Times New Roman" w:hAnsi="Times New Roman" w:cs="Times New Roman"/>
          <w:b/>
          <w:bCs/>
          <w:color w:val="000000" w:themeColor="text1"/>
        </w:rPr>
        <w:t>Hamza Tahir</w:t>
      </w:r>
      <w:r w:rsidRPr="004740EE">
        <w:rPr>
          <w:rFonts w:ascii="Times New Roman" w:hAnsi="Times New Roman" w:cs="Times New Roman"/>
          <w:color w:val="000000" w:themeColor="text1"/>
        </w:rPr>
        <w:br/>
        <w:t>Data Analyst</w:t>
      </w:r>
      <w:r w:rsidRPr="004740EE">
        <w:rPr>
          <w:rFonts w:ascii="Times New Roman" w:hAnsi="Times New Roman" w:cs="Times New Roman"/>
          <w:color w:val="000000" w:themeColor="text1"/>
        </w:rPr>
        <w:br/>
      </w:r>
      <w:r w:rsidRPr="004740EE">
        <w:rPr>
          <w:rFonts w:ascii="Segoe UI Emoji" w:hAnsi="Segoe UI Emoji" w:cs="Segoe UI Emoji"/>
          <w:color w:val="000000" w:themeColor="text1"/>
        </w:rPr>
        <w:t>📧</w:t>
      </w:r>
      <w:r w:rsidRPr="004740EE">
        <w:rPr>
          <w:rFonts w:ascii="Times New Roman" w:hAnsi="Times New Roman" w:cs="Times New Roman"/>
          <w:color w:val="000000" w:themeColor="text1"/>
        </w:rPr>
        <w:t xml:space="preserve"> Email: hamtah4850@gmail.com</w:t>
      </w:r>
      <w:r w:rsidRPr="004740EE">
        <w:rPr>
          <w:rFonts w:ascii="Times New Roman" w:hAnsi="Times New Roman" w:cs="Times New Roman"/>
          <w:color w:val="000000" w:themeColor="text1"/>
        </w:rPr>
        <w:br/>
      </w:r>
      <w:r w:rsidRPr="004740EE">
        <w:rPr>
          <w:rFonts w:ascii="Segoe UI Emoji" w:hAnsi="Segoe UI Emoji" w:cs="Segoe UI Emoji"/>
          <w:color w:val="000000" w:themeColor="text1"/>
        </w:rPr>
        <w:t>🔗</w:t>
      </w:r>
      <w:r w:rsidRPr="004740EE">
        <w:rPr>
          <w:rFonts w:ascii="Times New Roman" w:hAnsi="Times New Roman" w:cs="Times New Roman"/>
          <w:color w:val="000000" w:themeColor="text1"/>
        </w:rPr>
        <w:t xml:space="preserve"> LinkedIn: </w:t>
      </w:r>
      <w:hyperlink r:id="rId5" w:tgtFrame="_new" w:history="1">
        <w:r w:rsidRPr="004740EE">
          <w:rPr>
            <w:rStyle w:val="Hyperlink"/>
            <w:rFonts w:ascii="Times New Roman" w:hAnsi="Times New Roman" w:cs="Times New Roman"/>
          </w:rPr>
          <w:t>Hamza Tahir</w:t>
        </w:r>
      </w:hyperlink>
    </w:p>
    <w:p w14:paraId="787A86C7" w14:textId="77777777" w:rsidR="00BA1B78" w:rsidRPr="007F1B07" w:rsidRDefault="00BA1B78" w:rsidP="007F1B07">
      <w:pPr>
        <w:rPr>
          <w:rFonts w:ascii="Times New Roman" w:hAnsi="Times New Roman" w:cs="Times New Roman"/>
          <w:color w:val="000000" w:themeColor="text1"/>
        </w:rPr>
      </w:pPr>
    </w:p>
    <w:sectPr w:rsidR="00BA1B78" w:rsidRPr="007F1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74230"/>
    <w:multiLevelType w:val="hybridMultilevel"/>
    <w:tmpl w:val="E70ECBB6"/>
    <w:lvl w:ilvl="0" w:tplc="04090001">
      <w:start w:val="1"/>
      <w:numFmt w:val="bullet"/>
      <w:lvlText w:val=""/>
      <w:lvlJc w:val="left"/>
      <w:pPr>
        <w:ind w:left="4080" w:hanging="360"/>
      </w:pPr>
      <w:rPr>
        <w:rFonts w:ascii="Symbol" w:hAnsi="Symbol"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1" w15:restartNumberingAfterBreak="0">
    <w:nsid w:val="137F3583"/>
    <w:multiLevelType w:val="multilevel"/>
    <w:tmpl w:val="3384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E42FF"/>
    <w:multiLevelType w:val="multilevel"/>
    <w:tmpl w:val="02FC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95CBA"/>
    <w:multiLevelType w:val="multilevel"/>
    <w:tmpl w:val="20E2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A6E94"/>
    <w:multiLevelType w:val="hybridMultilevel"/>
    <w:tmpl w:val="0C6C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B2CC2"/>
    <w:multiLevelType w:val="multilevel"/>
    <w:tmpl w:val="8076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220BD"/>
    <w:multiLevelType w:val="multilevel"/>
    <w:tmpl w:val="57E2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B62D8"/>
    <w:multiLevelType w:val="hybridMultilevel"/>
    <w:tmpl w:val="FA7A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B259C"/>
    <w:multiLevelType w:val="hybridMultilevel"/>
    <w:tmpl w:val="36385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E92484"/>
    <w:multiLevelType w:val="hybridMultilevel"/>
    <w:tmpl w:val="0D76AEF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16cid:durableId="642084278">
    <w:abstractNumId w:val="4"/>
  </w:num>
  <w:num w:numId="2" w16cid:durableId="1481385614">
    <w:abstractNumId w:val="7"/>
  </w:num>
  <w:num w:numId="3" w16cid:durableId="2076197904">
    <w:abstractNumId w:val="8"/>
  </w:num>
  <w:num w:numId="4" w16cid:durableId="594827369">
    <w:abstractNumId w:val="0"/>
  </w:num>
  <w:num w:numId="5" w16cid:durableId="628515478">
    <w:abstractNumId w:val="9"/>
  </w:num>
  <w:num w:numId="6" w16cid:durableId="1275601359">
    <w:abstractNumId w:val="5"/>
  </w:num>
  <w:num w:numId="7" w16cid:durableId="741752890">
    <w:abstractNumId w:val="3"/>
  </w:num>
  <w:num w:numId="8" w16cid:durableId="929855129">
    <w:abstractNumId w:val="2"/>
  </w:num>
  <w:num w:numId="9" w16cid:durableId="149564580">
    <w:abstractNumId w:val="1"/>
  </w:num>
  <w:num w:numId="10" w16cid:durableId="15384734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0C"/>
    <w:rsid w:val="000046A2"/>
    <w:rsid w:val="000122D7"/>
    <w:rsid w:val="00073A52"/>
    <w:rsid w:val="00165722"/>
    <w:rsid w:val="00295410"/>
    <w:rsid w:val="0034557B"/>
    <w:rsid w:val="004740EE"/>
    <w:rsid w:val="00484C20"/>
    <w:rsid w:val="00486C5A"/>
    <w:rsid w:val="00505EEA"/>
    <w:rsid w:val="006500C0"/>
    <w:rsid w:val="00660040"/>
    <w:rsid w:val="0068070C"/>
    <w:rsid w:val="006819B3"/>
    <w:rsid w:val="006E6DAD"/>
    <w:rsid w:val="007D2CFD"/>
    <w:rsid w:val="007F1B07"/>
    <w:rsid w:val="00860D28"/>
    <w:rsid w:val="009643A0"/>
    <w:rsid w:val="00A0332D"/>
    <w:rsid w:val="00AB56C9"/>
    <w:rsid w:val="00B2593C"/>
    <w:rsid w:val="00B919A2"/>
    <w:rsid w:val="00BA1B78"/>
    <w:rsid w:val="00BD4CDD"/>
    <w:rsid w:val="00CD4786"/>
    <w:rsid w:val="00D83BF4"/>
    <w:rsid w:val="00F52896"/>
    <w:rsid w:val="00F91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198E"/>
  <w15:chartTrackingRefBased/>
  <w15:docId w15:val="{9ED375C6-EA70-49D4-87E7-FFFE1C91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70C"/>
    <w:rPr>
      <w:rFonts w:eastAsiaTheme="majorEastAsia" w:cstheme="majorBidi"/>
      <w:color w:val="272727" w:themeColor="text1" w:themeTint="D8"/>
    </w:rPr>
  </w:style>
  <w:style w:type="paragraph" w:styleId="Title">
    <w:name w:val="Title"/>
    <w:basedOn w:val="Normal"/>
    <w:next w:val="Normal"/>
    <w:link w:val="TitleChar"/>
    <w:uiPriority w:val="10"/>
    <w:qFormat/>
    <w:rsid w:val="00680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70C"/>
    <w:pPr>
      <w:spacing w:before="160"/>
      <w:jc w:val="center"/>
    </w:pPr>
    <w:rPr>
      <w:i/>
      <w:iCs/>
      <w:color w:val="404040" w:themeColor="text1" w:themeTint="BF"/>
    </w:rPr>
  </w:style>
  <w:style w:type="character" w:customStyle="1" w:styleId="QuoteChar">
    <w:name w:val="Quote Char"/>
    <w:basedOn w:val="DefaultParagraphFont"/>
    <w:link w:val="Quote"/>
    <w:uiPriority w:val="29"/>
    <w:rsid w:val="0068070C"/>
    <w:rPr>
      <w:i/>
      <w:iCs/>
      <w:color w:val="404040" w:themeColor="text1" w:themeTint="BF"/>
    </w:rPr>
  </w:style>
  <w:style w:type="paragraph" w:styleId="ListParagraph">
    <w:name w:val="List Paragraph"/>
    <w:basedOn w:val="Normal"/>
    <w:uiPriority w:val="34"/>
    <w:qFormat/>
    <w:rsid w:val="0068070C"/>
    <w:pPr>
      <w:ind w:left="720"/>
      <w:contextualSpacing/>
    </w:pPr>
  </w:style>
  <w:style w:type="character" w:styleId="IntenseEmphasis">
    <w:name w:val="Intense Emphasis"/>
    <w:basedOn w:val="DefaultParagraphFont"/>
    <w:uiPriority w:val="21"/>
    <w:qFormat/>
    <w:rsid w:val="0068070C"/>
    <w:rPr>
      <w:i/>
      <w:iCs/>
      <w:color w:val="0F4761" w:themeColor="accent1" w:themeShade="BF"/>
    </w:rPr>
  </w:style>
  <w:style w:type="paragraph" w:styleId="IntenseQuote">
    <w:name w:val="Intense Quote"/>
    <w:basedOn w:val="Normal"/>
    <w:next w:val="Normal"/>
    <w:link w:val="IntenseQuoteChar"/>
    <w:uiPriority w:val="30"/>
    <w:qFormat/>
    <w:rsid w:val="00680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70C"/>
    <w:rPr>
      <w:i/>
      <w:iCs/>
      <w:color w:val="0F4761" w:themeColor="accent1" w:themeShade="BF"/>
    </w:rPr>
  </w:style>
  <w:style w:type="character" w:styleId="IntenseReference">
    <w:name w:val="Intense Reference"/>
    <w:basedOn w:val="DefaultParagraphFont"/>
    <w:uiPriority w:val="32"/>
    <w:qFormat/>
    <w:rsid w:val="0068070C"/>
    <w:rPr>
      <w:b/>
      <w:bCs/>
      <w:smallCaps/>
      <w:color w:val="0F4761" w:themeColor="accent1" w:themeShade="BF"/>
      <w:spacing w:val="5"/>
    </w:rPr>
  </w:style>
  <w:style w:type="character" w:styleId="Hyperlink">
    <w:name w:val="Hyperlink"/>
    <w:basedOn w:val="DefaultParagraphFont"/>
    <w:uiPriority w:val="99"/>
    <w:unhideWhenUsed/>
    <w:rsid w:val="004740EE"/>
    <w:rPr>
      <w:color w:val="467886" w:themeColor="hyperlink"/>
      <w:u w:val="single"/>
    </w:rPr>
  </w:style>
  <w:style w:type="character" w:styleId="UnresolvedMention">
    <w:name w:val="Unresolved Mention"/>
    <w:basedOn w:val="DefaultParagraphFont"/>
    <w:uiPriority w:val="99"/>
    <w:semiHidden/>
    <w:unhideWhenUsed/>
    <w:rsid w:val="004740EE"/>
    <w:rPr>
      <w:color w:val="605E5C"/>
      <w:shd w:val="clear" w:color="auto" w:fill="E1DFDD"/>
    </w:rPr>
  </w:style>
  <w:style w:type="character" w:styleId="FollowedHyperlink">
    <w:name w:val="FollowedHyperlink"/>
    <w:basedOn w:val="DefaultParagraphFont"/>
    <w:uiPriority w:val="99"/>
    <w:semiHidden/>
    <w:unhideWhenUsed/>
    <w:rsid w:val="00505E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hamza-tahir-analyst/?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5983</TotalTime>
  <Pages>5</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Tahir</dc:creator>
  <cp:keywords/>
  <dc:description/>
  <cp:lastModifiedBy>Hamza Tahir</cp:lastModifiedBy>
  <cp:revision>20</cp:revision>
  <dcterms:created xsi:type="dcterms:W3CDTF">2025-08-27T06:22:00Z</dcterms:created>
  <dcterms:modified xsi:type="dcterms:W3CDTF">2025-08-31T11:30:00Z</dcterms:modified>
</cp:coreProperties>
</file>