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4C81"/>
          <w:sz w:val="36"/>
        </w:rPr>
        <w:t>GUIDE DE RÉVISION TECHNIQUE : FUSION SATELLITE</w:t>
      </w:r>
    </w:p>
    <w:p>
      <w:pPr>
        <w:spacing w:after="480"/>
        <w:jc w:val="center"/>
      </w:pPr>
      <w:r>
        <w:rPr>
          <w:rFonts w:ascii="Calibri" w:hAnsi="Calibri"/>
          <w:i/>
          <w:color w:val="646464"/>
          <w:sz w:val="24"/>
        </w:rPr>
        <w:t>Modèles v0 à v3 — Synthèse et Évaluation sur le Benchmark PaviaU</w:t>
      </w:r>
    </w:p>
    <w:p>
      <w:pPr>
        <w:pStyle w:val="Heading1"/>
        <w:keepNext/>
        <w:spacing w:before="360" w:after="200"/>
      </w:pPr>
      <w:r>
        <w:t>1. Tableau Comparatif Global de toutes les Métriques</w:t>
      </w:r>
    </w:p>
    <w:p>
      <w:pPr>
        <w:spacing w:after="160"/>
      </w:pPr>
      <w:r>
        <w:t>Ce tableau synthétise les performances quantitatives de toutes les versions développées, évaluées sur PaviaU (facteur de dégradation spatial d = 30)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312"/>
            <w:shd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Modèle</w:t>
            </w:r>
          </w:p>
        </w:tc>
        <w:tc>
          <w:tcPr>
            <w:tcW w:type="dxa" w:w="1296"/>
            <w:shd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PSNR (dB) ↑</w:t>
            </w:r>
          </w:p>
        </w:tc>
        <w:tc>
          <w:tcPr>
            <w:tcW w:type="dxa" w:w="1296"/>
            <w:shd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SAM (deg) ↓</w:t>
            </w:r>
          </w:p>
        </w:tc>
        <w:tc>
          <w:tcPr>
            <w:tcW w:type="dxa" w:w="1296"/>
            <w:shd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ERGAS ↓</w:t>
            </w:r>
          </w:p>
        </w:tc>
        <w:tc>
          <w:tcPr>
            <w:tcW w:type="dxa" w:w="1008"/>
            <w:shd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SSIM ↑</w:t>
            </w:r>
          </w:p>
        </w:tc>
        <w:tc>
          <w:tcPr>
            <w:tcW w:type="dxa" w:w="1008"/>
            <w:shd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UIQI ↑</w:t>
            </w:r>
          </w:p>
        </w:tc>
        <w:tc>
          <w:tcPr>
            <w:tcW w:type="dxa" w:w="1584"/>
            <w:shd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Parcimonie G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v0 (Baseline Linéaire - Tucker ALS)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21.36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9.46°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1.1525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0.4763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0.7243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12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v1 (Auto-encodeur Couplé CTAE)</w:t>
            </w:r>
          </w:p>
        </w:tc>
        <w:tc>
          <w:tcPr>
            <w:tcW w:type="dxa" w:w="1296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26.61</w:t>
            </w:r>
          </w:p>
        </w:tc>
        <w:tc>
          <w:tcPr>
            <w:tcW w:type="dxa" w:w="1296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6.17°</w:t>
            </w:r>
          </w:p>
        </w:tc>
        <w:tc>
          <w:tcPr>
            <w:tcW w:type="dxa" w:w="1296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0.6484</w:t>
            </w:r>
          </w:p>
        </w:tc>
        <w:tc>
          <w:tcPr>
            <w:tcW w:type="dxa" w:w="1008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0.7783</w:t>
            </w:r>
          </w:p>
        </w:tc>
        <w:tc>
          <w:tcPr>
            <w:tcW w:type="dxa" w:w="1008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0.9313</w:t>
            </w:r>
          </w:p>
        </w:tc>
        <w:tc>
          <w:tcPr>
            <w:tcW w:type="dxa" w:w="1584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13.0% (actif)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v2 (NL-JTAE standard)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25.89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5.37°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0.7063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0.7579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0.9193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96.0% (épars)</w:t>
            </w:r>
          </w:p>
        </w:tc>
      </w:tr>
      <w:tr>
        <w:tc>
          <w:tcPr>
            <w:tcW w:type="dxa" w:w="3312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v3 (NL-JTAE final - ConvTrans+Skips)</w:t>
            </w:r>
          </w:p>
        </w:tc>
        <w:tc>
          <w:tcPr>
            <w:tcW w:type="dxa" w:w="1296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40.57</w:t>
            </w:r>
          </w:p>
        </w:tc>
        <w:tc>
          <w:tcPr>
            <w:tcW w:type="dxa" w:w="1296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1.55°</w:t>
            </w:r>
          </w:p>
        </w:tc>
        <w:tc>
          <w:tcPr>
            <w:tcW w:type="dxa" w:w="1296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0.1483</w:t>
            </w:r>
          </w:p>
        </w:tc>
        <w:tc>
          <w:tcPr>
            <w:tcW w:type="dxa" w:w="1008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0.9862</w:t>
            </w:r>
          </w:p>
        </w:tc>
        <w:tc>
          <w:tcPr>
            <w:tcW w:type="dxa" w:w="1008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0.9971</w:t>
            </w:r>
          </w:p>
        </w:tc>
        <w:tc>
          <w:tcPr>
            <w:tcW w:type="dxa" w:w="1584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91.5% (épars)</w:t>
            </w:r>
          </w:p>
        </w:tc>
      </w:tr>
    </w:tbl>
    <w:p>
      <w:pPr>
        <w:spacing w:before="240"/>
      </w:pPr>
    </w:p>
    <w:p>
      <w:pPr>
        <w:pStyle w:val="Heading1"/>
        <w:keepNext/>
        <w:spacing w:before="360" w:after="200"/>
      </w:pPr>
      <w:r>
        <w:t>2. Fonctionnement Détaillé des Modèles</w:t>
      </w:r>
    </w:p>
    <w:p>
      <w:pPr>
        <w:pStyle w:val="Heading2"/>
        <w:keepNext/>
        <w:spacing w:before="240" w:after="120"/>
      </w:pPr>
      <w:r>
        <w:t>Modèle v0 : La Baseline Linéaire (Tucker ALS)</w:t>
      </w:r>
    </w:p>
    <w:p>
      <w:pPr>
        <w:spacing w:after="120"/>
      </w:pPr>
      <w:r>
        <w:rPr>
          <w:b/>
        </w:rPr>
        <w:t xml:space="preserve">• Principe mathématique : </w:t>
      </w:r>
      <w:r>
        <w:t xml:space="preserve">Ce modèle repose sur une décomposition tensorielle de Tucker linéaire classique de l'image super-résolue </w:t>
      </w:r>
      <w:r>
        <w:t>S : S ≈ G ×₁ A ×₂ B ×₃ C_f, où G désigne le tenseur cœur compact, et A, B, C_f sont les matrices de projection (dictionnaires spatio-spectraux).</w:t>
      </w:r>
    </w:p>
    <w:p>
      <w:pPr>
        <w:spacing w:after="120"/>
      </w:pPr>
      <w:r>
        <w:rPr>
          <w:b/>
        </w:rPr>
        <w:t xml:space="preserve">• Fonctionnement : </w:t>
      </w:r>
      <w:r>
        <w:t>L'algorithme utilise les moindres carrés alternés (ALS). Il met à jour de façon séquentielle chaque matrice de projection en fixant les autres pour minimiser la distance quadratique aux observations Sentinel-2 et Sentinel-3.</w:t>
      </w:r>
    </w:p>
    <w:p>
      <w:pPr>
        <w:spacing w:after="240"/>
      </w:pPr>
      <w:r>
        <w:rPr>
          <w:b/>
        </w:rPr>
        <w:t xml:space="preserve">• Limites : </w:t>
      </w:r>
      <w:r>
        <w:t>Totalement linéaire et sans paramètres appris. Le modèle est incapable d'extraire les motifs non-linéaires complexes liant les domaines spatial et spectral (PSNR bas à 21.36 dB).</w:t>
      </w:r>
    </w:p>
    <w:p>
      <w:pPr>
        <w:pStyle w:val="Heading2"/>
        <w:keepNext/>
        <w:spacing w:before="240" w:after="120"/>
      </w:pPr>
      <w:r>
        <w:t>Modèle v1 : L'Auto-encodeur Couplé (CTAE)</w:t>
      </w:r>
    </w:p>
    <w:p>
      <w:pPr>
        <w:spacing w:after="120"/>
      </w:pPr>
      <w:r>
        <w:rPr>
          <w:b/>
        </w:rPr>
        <w:t xml:space="preserve">• Principe mathématique : </w:t>
      </w:r>
      <w:r>
        <w:t>Introduction des réseaux convolutifs non-linéaires couplés. L'architecture sépare les traitements via deux branches d'encodage indépendantes et deux décodeurs spécifiques.</w:t>
      </w:r>
    </w:p>
    <w:p>
      <w:pPr>
        <w:spacing w:after="120"/>
      </w:pPr>
      <w:r>
        <w:rPr>
          <w:b/>
        </w:rPr>
        <w:t xml:space="preserve">• Fonctionnement : </w:t>
      </w:r>
      <w:r>
        <w:t>L'encodeur spatial traite Sentinel-2 pour extraire la structure géométrique, tandis que l'encodeur spectral extrait la signature physique de Sentinel-3. Les caractéristiques latentes sont fusionnées par produit tensoriel pour former un tenseur cœur commun G.</w:t>
      </w:r>
    </w:p>
    <w:p>
      <w:pPr>
        <w:spacing w:after="240"/>
      </w:pPr>
      <w:r>
        <w:rPr>
          <w:b/>
        </w:rPr>
        <w:t xml:space="preserve">• Limites : </w:t>
      </w:r>
      <w:r>
        <w:t>Puisque les deux capteurs sont encodés indépendamment, les corrélations spatiales-spectrales directes ne sont pas apprises de manière jointe à l'entrée du réseau.</w:t>
      </w:r>
    </w:p>
    <w:p>
      <w:pPr>
        <w:pStyle w:val="Heading2"/>
        <w:keepNext/>
        <w:spacing w:before="240" w:after="120"/>
      </w:pPr>
      <w:r>
        <w:t>Modèle v2 : L'Auto-encodeur Conjoint (NL-JTAE)</w:t>
      </w:r>
    </w:p>
    <w:p>
      <w:pPr>
        <w:spacing w:after="120"/>
      </w:pPr>
      <w:r>
        <w:rPr>
          <w:b/>
        </w:rPr>
        <w:t xml:space="preserve">• Principe mathématique : </w:t>
      </w:r>
      <w:r>
        <w:t>Architecture conjointe (Joint). La fusion des données Sentinel-2 et Sentinel-3 s'effectue en amont par concaténation (34 canaux) avant l'injection dans un unique réseau de neurones.</w:t>
      </w:r>
    </w:p>
    <w:p>
      <w:pPr>
        <w:spacing w:after="120"/>
      </w:pPr>
      <w:r>
        <w:rPr>
          <w:b/>
        </w:rPr>
        <w:t xml:space="preserve">• Fonctionnement : </w:t>
      </w:r>
      <w:r>
        <w:t>L'encodeur conjoint utilise des blocs Inception multi-échelles (convolutions 1×1, 3×3, 5×5) pour extraire de concert les corrélations géométriques et spectrales. Le décodeur reconstruit directement l'image super-résolue, soumise à une contrainte de cohérence physique (PSF et SRF) par rapport aux entrées observées.</w:t>
      </w:r>
    </w:p>
    <w:p>
      <w:pPr>
        <w:spacing w:after="240"/>
      </w:pPr>
      <w:r>
        <w:rPr>
          <w:b/>
        </w:rPr>
        <w:t xml:space="preserve">• Limites : </w:t>
      </w:r>
      <w:r>
        <w:t>La remontée en résolution dans le décodeur est assurée par un opérateur mathématique fixe (interpolation bilinéaire). Cette absence d'upsampling appris engendre un lissage spatial des contours (PSNR à 25.89 dB).</w:t>
      </w:r>
    </w:p>
    <w:p>
      <w:pPr>
        <w:pStyle w:val="Heading2"/>
        <w:keepNext/>
        <w:spacing w:before="240" w:after="120"/>
      </w:pPr>
      <w:r>
        <w:t>Modèle v3 : Le Modèle Final (NL-JTAE avec ConvTranspose &amp; Skips)</w:t>
      </w:r>
    </w:p>
    <w:p>
      <w:pPr>
        <w:spacing w:after="120"/>
      </w:pPr>
      <w:r>
        <w:rPr>
          <w:b/>
        </w:rPr>
        <w:t xml:space="preserve">• Principe mathématique : </w:t>
      </w:r>
      <w:r>
        <w:t>Intégration d'un décodeur convolutif actif symétrique avec connexions résiduelles et contrainte spectrale SAM différentiable.</w:t>
      </w:r>
    </w:p>
    <w:p>
      <w:pPr>
        <w:spacing w:after="120"/>
      </w:pPr>
      <w:r>
        <w:rPr>
          <w:b/>
        </w:rPr>
        <w:t>• Les 3 innovations majeures de la v3 :</w:t>
      </w:r>
    </w:p>
    <w:p>
      <w:pPr>
        <w:pStyle w:val="ListBullet"/>
        <w:spacing w:after="60"/>
      </w:pPr>
      <w:r>
        <w:rPr>
          <w:b/>
        </w:rPr>
        <w:t xml:space="preserve">Convolutions Transposées (Upsampling appris) : </w:t>
      </w:r>
      <w:r>
        <w:t>L'interpolation mathématique passive est remplacée par des filtres appris qui se chargent de reconstruire dynamiquement les textures fines.</w:t>
      </w:r>
    </w:p>
    <w:p>
      <w:pPr>
        <w:pStyle w:val="ListBullet"/>
        <w:spacing w:after="60"/>
      </w:pPr>
      <w:r>
        <w:rPr>
          <w:b/>
        </w:rPr>
        <w:t xml:space="preserve">Skip Connections (Connexions Résiduelles) : </w:t>
      </w:r>
      <w:r>
        <w:t>Les détails spatiaux géométriques de haute fréquence (les contours extraits par l'encodeur) contournent la compression latente et sont copiés directement dans le décodeur.</w:t>
      </w:r>
    </w:p>
    <w:p>
      <w:pPr>
        <w:pStyle w:val="ListBullet"/>
        <w:spacing w:after="120"/>
      </w:pPr>
      <w:r>
        <w:rPr>
          <w:b/>
        </w:rPr>
        <w:t xml:space="preserve">Perte SAM Différentiable : </w:t>
      </w:r>
      <w:r>
        <w:t>Optimisation directe de l'angle spectral moyen entre les signatures reconstruites et la vérité terrain :</w:t>
      </w:r>
    </w:p>
    <w:p>
      <w:pPr>
        <w:spacing w:after="120"/>
        <w:jc w:val="center"/>
      </w:pPr>
      <w:r>
        <w:rPr>
          <w:rFonts w:ascii="Consolas" w:hAnsi="Consolas"/>
          <w:i/>
          <w:sz w:val="19"/>
        </w:rPr>
        <w:t>L_SAM(S, S_pred) = 1/(HW) * sum( arccos( (S_hw . S_pred_hw) / (||S_hw||_2 * ||S_pred_hw||_2) ) )</w:t>
      </w:r>
    </w:p>
    <w:p>
      <w:pPr>
        <w:spacing w:after="240"/>
      </w:pPr>
      <w:r>
        <w:rPr>
          <w:b/>
        </w:rPr>
        <w:t xml:space="preserve">• Impact : </w:t>
      </w:r>
      <w:r>
        <w:t xml:space="preserve">Ces mécanismes permettent une synergie parfaite. Les performances s'envolent, le PSNR atteignant </w:t>
      </w:r>
      <w:r>
        <w:rPr>
          <w:b/>
        </w:rPr>
        <w:t xml:space="preserve">40.57 dB </w:t>
      </w:r>
      <w:r>
        <w:t xml:space="preserve">et la distorsion spectrale SAM tombant à seulement </w:t>
      </w:r>
      <w:r>
        <w:rPr>
          <w:b/>
        </w:rPr>
        <w:t>1.55°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