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C1F" w:rsidRPr="00693C1F" w:rsidRDefault="00693C1F" w:rsidP="00693C1F">
      <w:pPr>
        <w:spacing w:before="274" w:after="206" w:line="429" w:lineRule="atLeast"/>
        <w:outlineLvl w:val="3"/>
        <w:rPr>
          <w:rFonts w:ascii="Segoe UI" w:eastAsia="Times New Roman" w:hAnsi="Segoe UI" w:cs="Segoe UI"/>
          <w:b/>
          <w:color w:val="404040"/>
          <w:sz w:val="32"/>
          <w:szCs w:val="32"/>
          <w:lang w:eastAsia="fr-FR"/>
        </w:rPr>
      </w:pPr>
      <w:r w:rsidRPr="00693C1F">
        <w:rPr>
          <w:rFonts w:ascii="Segoe UI" w:eastAsia="Times New Roman" w:hAnsi="Segoe UI" w:cs="Segoe UI"/>
          <w:b/>
          <w:color w:val="404040"/>
          <w:sz w:val="32"/>
          <w:szCs w:val="32"/>
          <w:lang w:eastAsia="fr-FR"/>
        </w:rPr>
        <w:t>Économiseur HT</w:t>
      </w:r>
      <w:bookmarkStart w:id="0" w:name="_GoBack"/>
      <w:bookmarkEnd w:id="0"/>
    </w:p>
    <w:tbl>
      <w:tblPr>
        <w:tblW w:w="10774" w:type="dxa"/>
        <w:tblInd w:w="-8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283"/>
        <w:gridCol w:w="1543"/>
        <w:gridCol w:w="1418"/>
        <w:gridCol w:w="1275"/>
        <w:gridCol w:w="432"/>
        <w:gridCol w:w="432"/>
        <w:gridCol w:w="472"/>
        <w:gridCol w:w="713"/>
        <w:gridCol w:w="1637"/>
      </w:tblGrid>
      <w:tr w:rsidR="00693C1F" w:rsidRPr="00B13556" w:rsidTr="00B6638E">
        <w:trPr>
          <w:trHeight w:val="508"/>
          <w:tblHeader/>
        </w:trPr>
        <w:tc>
          <w:tcPr>
            <w:tcW w:w="15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  <w:t>Sous-composant</w:t>
            </w:r>
          </w:p>
        </w:tc>
        <w:tc>
          <w:tcPr>
            <w:tcW w:w="128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  <w:t>Fonction</w:t>
            </w:r>
          </w:p>
        </w:tc>
        <w:tc>
          <w:tcPr>
            <w:tcW w:w="154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  <w:lang w:eastAsia="fr-FR"/>
              </w:rPr>
              <w:t>Mode de Défaillance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  <w:t>Cause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  <w:t>Effet</w:t>
            </w:r>
          </w:p>
        </w:tc>
        <w:tc>
          <w:tcPr>
            <w:tcW w:w="4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  <w:t>F</w:t>
            </w:r>
          </w:p>
        </w:tc>
        <w:tc>
          <w:tcPr>
            <w:tcW w:w="4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  <w:t>G</w:t>
            </w:r>
          </w:p>
        </w:tc>
        <w:tc>
          <w:tcPr>
            <w:tcW w:w="47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  <w:t>D</w:t>
            </w:r>
          </w:p>
        </w:tc>
        <w:tc>
          <w:tcPr>
            <w:tcW w:w="71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  <w:t>C</w:t>
            </w:r>
          </w:p>
        </w:tc>
        <w:tc>
          <w:tcPr>
            <w:tcW w:w="163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b/>
                <w:bCs/>
                <w:color w:val="404040"/>
                <w:lang w:eastAsia="fr-FR"/>
              </w:rPr>
              <w:t>Actions Correctives</w:t>
            </w:r>
          </w:p>
        </w:tc>
      </w:tr>
      <w:tr w:rsidR="00693C1F" w:rsidRPr="00B13556" w:rsidTr="00B6638E">
        <w:trPr>
          <w:trHeight w:val="1156"/>
        </w:trPr>
        <w:tc>
          <w:tcPr>
            <w:tcW w:w="156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Tubes suspension</w:t>
            </w:r>
          </w:p>
        </w:tc>
        <w:tc>
          <w:tcPr>
            <w:tcW w:w="1283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Support structurel</w:t>
            </w:r>
          </w:p>
        </w:tc>
        <w:tc>
          <w:tcPr>
            <w:tcW w:w="1543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Fatigue mécanique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Vibrations flux gaz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Fissures externes</w:t>
            </w:r>
          </w:p>
        </w:tc>
        <w:tc>
          <w:tcPr>
            <w:tcW w:w="43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43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7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713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163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Renforts métalliques + surveillance vibratoire</w:t>
            </w:r>
          </w:p>
        </w:tc>
      </w:tr>
      <w:tr w:rsidR="00693C1F" w:rsidRPr="00B13556" w:rsidTr="00B6638E">
        <w:trPr>
          <w:trHeight w:val="1235"/>
        </w:trPr>
        <w:tc>
          <w:tcPr>
            <w:tcW w:w="156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Branches sortie</w:t>
            </w:r>
          </w:p>
        </w:tc>
        <w:tc>
          <w:tcPr>
            <w:tcW w:w="1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Évacuation vapeur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Oxygen</w:t>
            </w:r>
            <w:proofErr w:type="spellEnd"/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pitting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Excès O₂ dans eau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Piqûres corrosion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7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1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Désaération eau + passivation annuelle</w:t>
            </w:r>
          </w:p>
        </w:tc>
      </w:tr>
      <w:tr w:rsidR="00693C1F" w:rsidRPr="00B13556" w:rsidTr="00B6638E">
        <w:trPr>
          <w:trHeight w:val="1092"/>
        </w:trPr>
        <w:tc>
          <w:tcPr>
            <w:tcW w:w="156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Collecteur entrée</w:t>
            </w:r>
          </w:p>
        </w:tc>
        <w:tc>
          <w:tcPr>
            <w:tcW w:w="1283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Distribution vapeur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Érosion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Cendres &gt;14%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Amincissement accéléré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472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713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24</w:t>
            </w:r>
          </w:p>
        </w:tc>
        <w:tc>
          <w:tcPr>
            <w:tcW w:w="1637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93C1F" w:rsidRPr="00B13556" w:rsidRDefault="00693C1F" w:rsidP="00B66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</w:pPr>
            <w:r w:rsidRPr="00B1355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fr-FR"/>
              </w:rPr>
              <w:t>Nettoyage pneumatique mensuel</w:t>
            </w:r>
          </w:p>
        </w:tc>
      </w:tr>
    </w:tbl>
    <w:p w:rsidR="005D648E" w:rsidRDefault="005D648E"/>
    <w:sectPr w:rsidR="005D6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1F"/>
    <w:rsid w:val="0005388F"/>
    <w:rsid w:val="001A426A"/>
    <w:rsid w:val="00484632"/>
    <w:rsid w:val="005D648E"/>
    <w:rsid w:val="00693C1F"/>
    <w:rsid w:val="006F1BB1"/>
    <w:rsid w:val="00787C5F"/>
    <w:rsid w:val="00D9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FB9B7-F0D6-4F06-8060-97A8B46B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C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autoRedefine/>
    <w:uiPriority w:val="35"/>
    <w:unhideWhenUsed/>
    <w:qFormat/>
    <w:rsid w:val="00787C5F"/>
    <w:pPr>
      <w:spacing w:before="80" w:after="120" w:line="360" w:lineRule="auto"/>
      <w:jc w:val="center"/>
    </w:pPr>
    <w:rPr>
      <w:rFonts w:ascii="Times New Roman" w:eastAsiaTheme="minorEastAsia" w:hAnsi="Times New Roman"/>
      <w:i/>
      <w:iCs/>
      <w:color w:val="C45911" w:themeColor="accent2" w:themeShade="BF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2025-05-13T20:02:00Z</dcterms:created>
  <dcterms:modified xsi:type="dcterms:W3CDTF">2025-05-13T20:03:00Z</dcterms:modified>
</cp:coreProperties>
</file>