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3F" w:rsidRPr="00F3183F" w:rsidRDefault="00F3183F" w:rsidP="00F3183F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</w:pPr>
      <w:r w:rsidRPr="00F3183F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 xml:space="preserve">. </w:t>
      </w:r>
      <w:bookmarkStart w:id="0" w:name="_GoBack"/>
      <w:proofErr w:type="spellStart"/>
      <w:r w:rsidRPr="00F3183F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>Surchauffeur</w:t>
      </w:r>
      <w:proofErr w:type="spellEnd"/>
      <w:r w:rsidRPr="00F3183F">
        <w:rPr>
          <w:rFonts w:ascii="Segoe UI" w:eastAsia="Times New Roman" w:hAnsi="Segoe UI" w:cs="Segoe UI"/>
          <w:b/>
          <w:color w:val="404040"/>
          <w:sz w:val="32"/>
          <w:szCs w:val="32"/>
          <w:lang w:eastAsia="fr-FR"/>
        </w:rPr>
        <w:t xml:space="preserve"> BT</w:t>
      </w:r>
      <w:bookmarkEnd w:id="0"/>
    </w:p>
    <w:tbl>
      <w:tblPr>
        <w:tblW w:w="11099" w:type="dxa"/>
        <w:tblInd w:w="-86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683"/>
        <w:gridCol w:w="1459"/>
        <w:gridCol w:w="1458"/>
        <w:gridCol w:w="444"/>
        <w:gridCol w:w="444"/>
        <w:gridCol w:w="466"/>
        <w:gridCol w:w="700"/>
        <w:gridCol w:w="1751"/>
      </w:tblGrid>
      <w:tr w:rsidR="00F3183F" w:rsidRPr="00135B9A" w:rsidTr="00557970">
        <w:trPr>
          <w:trHeight w:val="858"/>
          <w:tblHeader/>
        </w:trPr>
        <w:tc>
          <w:tcPr>
            <w:tcW w:w="12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Sous-</w:t>
            </w:r>
            <w:proofErr w:type="spellStart"/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composant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Fonction</w:t>
            </w:r>
            <w:proofErr w:type="spellEnd"/>
          </w:p>
        </w:tc>
        <w:tc>
          <w:tcPr>
            <w:tcW w:w="168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 xml:space="preserve">Mode de </w:t>
            </w:r>
            <w:proofErr w:type="spellStart"/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Défaillance</w:t>
            </w:r>
            <w:proofErr w:type="spellEnd"/>
          </w:p>
        </w:tc>
        <w:tc>
          <w:tcPr>
            <w:tcW w:w="145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Cause</w:t>
            </w:r>
          </w:p>
        </w:tc>
        <w:tc>
          <w:tcPr>
            <w:tcW w:w="145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Effet</w:t>
            </w:r>
            <w:proofErr w:type="spellEnd"/>
          </w:p>
        </w:tc>
        <w:tc>
          <w:tcPr>
            <w:tcW w:w="44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F</w:t>
            </w:r>
          </w:p>
        </w:tc>
        <w:tc>
          <w:tcPr>
            <w:tcW w:w="44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G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D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5B9BD5" w:themeFill="accent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C</w:t>
            </w:r>
          </w:p>
        </w:tc>
        <w:tc>
          <w:tcPr>
            <w:tcW w:w="175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b/>
                <w:bCs/>
                <w:color w:val="404040"/>
                <w:lang w:eastAsia="fr-FR"/>
              </w:rPr>
              <w:t>Actions Correctives</w:t>
            </w:r>
          </w:p>
        </w:tc>
      </w:tr>
      <w:tr w:rsidR="00F3183F" w:rsidRPr="00135B9A" w:rsidTr="00557970">
        <w:trPr>
          <w:trHeight w:val="877"/>
        </w:trPr>
        <w:tc>
          <w:tcPr>
            <w:tcW w:w="127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Tube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porteur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Résistance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pression</w:t>
            </w:r>
            <w:proofErr w:type="spellEnd"/>
          </w:p>
        </w:tc>
        <w:tc>
          <w:tcPr>
            <w:tcW w:w="168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Graphitization</w:t>
            </w:r>
          </w:p>
        </w:tc>
        <w:tc>
          <w:tcPr>
            <w:tcW w:w="145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Température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&gt;400°C long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terme</w:t>
            </w:r>
            <w:proofErr w:type="spellEnd"/>
          </w:p>
        </w:tc>
        <w:tc>
          <w:tcPr>
            <w:tcW w:w="145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Fragilisation</w:t>
            </w:r>
            <w:proofErr w:type="spellEnd"/>
          </w:p>
        </w:tc>
        <w:tc>
          <w:tcPr>
            <w:tcW w:w="44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1</w:t>
            </w:r>
          </w:p>
        </w:tc>
        <w:tc>
          <w:tcPr>
            <w:tcW w:w="44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5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20</w:t>
            </w:r>
          </w:p>
        </w:tc>
        <w:tc>
          <w:tcPr>
            <w:tcW w:w="17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Remplacement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préventif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5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ans</w:t>
            </w:r>
            <w:proofErr w:type="spellEnd"/>
          </w:p>
        </w:tc>
      </w:tr>
      <w:tr w:rsidR="00F3183F" w:rsidRPr="00135B9A" w:rsidTr="00557970">
        <w:trPr>
          <w:trHeight w:val="858"/>
        </w:trPr>
        <w:tc>
          <w:tcPr>
            <w:tcW w:w="1277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Collecteur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entrée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Distribution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vapeur</w:t>
            </w:r>
            <w:proofErr w:type="spellEnd"/>
          </w:p>
        </w:tc>
        <w:tc>
          <w:tcPr>
            <w:tcW w:w="168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Corrosion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côté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feu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Cendres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sulfureuses</w:t>
            </w:r>
            <w:proofErr w:type="spellEnd"/>
          </w:p>
        </w:tc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Perte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matière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externe</w:t>
            </w:r>
            <w:proofErr w:type="spellEnd"/>
          </w:p>
        </w:tc>
        <w:tc>
          <w:tcPr>
            <w:tcW w:w="44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3</w:t>
            </w:r>
          </w:p>
        </w:tc>
        <w:tc>
          <w:tcPr>
            <w:tcW w:w="44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4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24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Injection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additifs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anti-slagging</w:t>
            </w:r>
          </w:p>
        </w:tc>
      </w:tr>
      <w:tr w:rsidR="00F3183F" w:rsidRPr="00135B9A" w:rsidTr="00557970">
        <w:trPr>
          <w:trHeight w:val="1189"/>
        </w:trPr>
        <w:tc>
          <w:tcPr>
            <w:tcW w:w="127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7CAAC" w:themeFill="accent2" w:themeFillTint="66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404040"/>
                <w:lang w:eastAsia="fr-FR"/>
              </w:rPr>
              <w:t>Épingle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Transfert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thermique</w:t>
            </w:r>
            <w:proofErr w:type="spellEnd"/>
          </w:p>
        </w:tc>
        <w:tc>
          <w:tcPr>
            <w:tcW w:w="1683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Short-term overheat</w:t>
            </w:r>
          </w:p>
        </w:tc>
        <w:tc>
          <w:tcPr>
            <w:tcW w:w="1459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Blocage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flux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vapeur</w:t>
            </w:r>
            <w:proofErr w:type="spellEnd"/>
          </w:p>
        </w:tc>
        <w:tc>
          <w:tcPr>
            <w:tcW w:w="1458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Rupture ductile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4</w:t>
            </w:r>
          </w:p>
        </w:tc>
        <w:tc>
          <w:tcPr>
            <w:tcW w:w="444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 w:rsidRPr="00135B9A">
              <w:rPr>
                <w:rFonts w:eastAsia="Times New Roman" w:cs="Times New Roman"/>
                <w:color w:val="404040"/>
                <w:lang w:eastAsia="fr-FR"/>
              </w:rPr>
              <w:t>5</w:t>
            </w:r>
          </w:p>
        </w:tc>
        <w:tc>
          <w:tcPr>
            <w:tcW w:w="466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D0CECE" w:themeFill="background2" w:themeFillShade="E6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r>
              <w:rPr>
                <w:rFonts w:eastAsia="Times New Roman" w:cs="Times New Roman"/>
                <w:color w:val="404040"/>
                <w:lang w:eastAsia="fr-FR"/>
              </w:rPr>
              <w:t>4</w:t>
            </w:r>
            <w:r w:rsidRPr="00135B9A">
              <w:rPr>
                <w:rFonts w:eastAsia="Times New Roman" w:cs="Times New Roman"/>
                <w:color w:val="404040"/>
                <w:lang w:eastAsia="fr-FR"/>
              </w:rPr>
              <w:t>0</w:t>
            </w:r>
          </w:p>
        </w:tc>
        <w:tc>
          <w:tcPr>
            <w:tcW w:w="1751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F3183F" w:rsidRPr="00135B9A" w:rsidRDefault="00F3183F" w:rsidP="00557970">
            <w:pPr>
              <w:spacing w:after="0" w:line="240" w:lineRule="auto"/>
              <w:rPr>
                <w:rFonts w:eastAsia="Times New Roman" w:cs="Times New Roman"/>
                <w:color w:val="404040"/>
                <w:lang w:eastAsia="fr-FR"/>
              </w:rPr>
            </w:pP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Alarmes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température</w:t>
            </w:r>
            <w:proofErr w:type="spellEnd"/>
            <w:r w:rsidRPr="00135B9A">
              <w:rPr>
                <w:rFonts w:eastAsia="Times New Roman" w:cs="Times New Roman"/>
                <w:color w:val="404040"/>
                <w:lang w:eastAsia="fr-FR"/>
              </w:rPr>
              <w:t xml:space="preserve"> + purge </w:t>
            </w:r>
            <w:proofErr w:type="spellStart"/>
            <w:r w:rsidRPr="00135B9A">
              <w:rPr>
                <w:rFonts w:eastAsia="Times New Roman" w:cs="Times New Roman"/>
                <w:color w:val="404040"/>
                <w:lang w:eastAsia="fr-FR"/>
              </w:rPr>
              <w:t>démarrage</w:t>
            </w:r>
            <w:proofErr w:type="spellEnd"/>
          </w:p>
        </w:tc>
      </w:tr>
    </w:tbl>
    <w:p w:rsidR="00F3183F" w:rsidRDefault="00F3183F" w:rsidP="00F3183F">
      <w:pPr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Cs w:val="24"/>
          <w:lang w:eastAsia="fr-FR"/>
        </w:rPr>
      </w:pPr>
    </w:p>
    <w:p w:rsidR="005D648E" w:rsidRDefault="005D648E"/>
    <w:sectPr w:rsidR="005D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3E"/>
    <w:rsid w:val="0005388F"/>
    <w:rsid w:val="001A426A"/>
    <w:rsid w:val="00484632"/>
    <w:rsid w:val="005D648E"/>
    <w:rsid w:val="006B1E3E"/>
    <w:rsid w:val="006F1BB1"/>
    <w:rsid w:val="00787C5F"/>
    <w:rsid w:val="00D934C8"/>
    <w:rsid w:val="00F3183F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85B0B-A5F7-4033-8D0D-F60AA7CF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48E"/>
    <w:pPr>
      <w:spacing w:before="120" w:after="120" w:line="360" w:lineRule="auto"/>
    </w:pPr>
    <w:rPr>
      <w:rFonts w:ascii="Times New Roman" w:eastAsiaTheme="minorEastAsia" w:hAnsi="Times New Roman"/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autoRedefine/>
    <w:uiPriority w:val="35"/>
    <w:unhideWhenUsed/>
    <w:qFormat/>
    <w:rsid w:val="00787C5F"/>
    <w:pPr>
      <w:spacing w:before="80"/>
      <w:jc w:val="center"/>
    </w:pPr>
    <w:rPr>
      <w:i/>
      <w:iCs/>
      <w:color w:val="C45911" w:themeColor="accent2" w:themeShade="BF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2025-05-13T17:30:00Z</dcterms:created>
  <dcterms:modified xsi:type="dcterms:W3CDTF">2025-05-13T17:30:00Z</dcterms:modified>
</cp:coreProperties>
</file>