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A6123" w14:textId="6ED09D6F" w:rsidR="007D7B03" w:rsidRPr="007D7B03" w:rsidRDefault="007D7B03" w:rsidP="007D7B03">
      <w:pPr>
        <w:pStyle w:val="Paragraphedeliste"/>
        <w:numPr>
          <w:ilvl w:val="0"/>
          <w:numId w:val="1"/>
        </w:numPr>
        <w:spacing w:line="360" w:lineRule="auto"/>
        <w:jc w:val="both"/>
        <w:rPr>
          <w:rFonts w:ascii="Times New Roman" w:hAnsi="Times New Roman" w:cs="Times New Roman"/>
          <w:b/>
          <w:bCs/>
        </w:rPr>
      </w:pPr>
      <w:r>
        <w:rPr>
          <w:rFonts w:ascii="Times New Roman" w:hAnsi="Times New Roman" w:cs="Times New Roman"/>
          <w:b/>
          <w:bCs/>
        </w:rPr>
        <w:t>Cadrage du projet</w:t>
      </w:r>
    </w:p>
    <w:p w14:paraId="7FF09677" w14:textId="77777777" w:rsidR="007D7B03" w:rsidRPr="007D7B03" w:rsidRDefault="007D7B03" w:rsidP="007D7B03">
      <w:pPr>
        <w:spacing w:line="360" w:lineRule="auto"/>
        <w:jc w:val="both"/>
        <w:rPr>
          <w:rFonts w:ascii="Times New Roman" w:hAnsi="Times New Roman" w:cs="Times New Roman"/>
          <w:b/>
          <w:bCs/>
        </w:rPr>
      </w:pPr>
    </w:p>
    <w:p w14:paraId="536A2BD5" w14:textId="77777777" w:rsidR="007D7B03" w:rsidRPr="007D7B03" w:rsidRDefault="007D7B03" w:rsidP="007D7B03">
      <w:pPr>
        <w:spacing w:line="360" w:lineRule="auto"/>
        <w:jc w:val="both"/>
        <w:rPr>
          <w:rFonts w:ascii="Times New Roman" w:hAnsi="Times New Roman" w:cs="Times New Roman"/>
          <w:b/>
          <w:bCs/>
        </w:rPr>
      </w:pPr>
      <w:r>
        <w:rPr>
          <w:rFonts w:ascii="Times New Roman" w:hAnsi="Times New Roman" w:cs="Times New Roman"/>
          <w:b/>
          <w:bCs/>
        </w:rPr>
        <w:t>1.1 Contexte métier</w:t>
      </w:r>
    </w:p>
    <w:p w14:paraId="2B206CD6" w14:textId="77777777" w:rsidR="007D7B03" w:rsidRDefault="007D7B03" w:rsidP="007D7B03">
      <w:pPr>
        <w:spacing w:line="360" w:lineRule="auto"/>
        <w:jc w:val="both"/>
        <w:rPr>
          <w:rFonts w:ascii="Times New Roman" w:hAnsi="Times New Roman" w:cs="Times New Roman"/>
        </w:rPr>
      </w:pPr>
      <w:r>
        <w:rPr>
          <w:rFonts w:ascii="Times New Roman" w:hAnsi="Times New Roman" w:cs="Times New Roman"/>
        </w:rPr>
        <w:t>RavenStack est un éditeur SaaS B2B qui propose une plateforme de gestion de projets destinée à des équipes tech. Le modèle économique repose sur des abonnements mensuels avec plusieurs offres (Starter, Growth, Enterprise) qui génèrent du MRR (Monthly Recurring Revenue), c’est</w:t>
        <w:noBreakHyphen/>
        <w:t>à</w:t>
        <w:noBreakHyphen/>
        <w:t>dire un chiffre d’affaires récurrent et prévisible. Comme beaucoup d’acteurs SaaS, RavenStack fait face à un problème de churn : chaque mois, une partie des clients résilie son abonnement, ce qui réduit le MRR et rend la croissance plus difficile à piloter.</w:t>
      </w:r>
    </w:p>
    <w:p w14:paraId="34936573" w14:textId="77777777" w:rsidR="007D7B03" w:rsidRPr="007D7B03" w:rsidRDefault="007D7B03" w:rsidP="007D7B03">
      <w:pPr>
        <w:spacing w:line="360" w:lineRule="auto"/>
        <w:jc w:val="both"/>
        <w:rPr>
          <w:rFonts w:ascii="Times New Roman" w:hAnsi="Times New Roman" w:cs="Times New Roman"/>
        </w:rPr>
      </w:pPr>
    </w:p>
    <w:p w14:paraId="15FC1B25" w14:textId="77777777" w:rsidR="007D7B03" w:rsidRPr="007D7B03" w:rsidRDefault="007D7B03" w:rsidP="007D7B03">
      <w:pPr>
        <w:spacing w:line="360" w:lineRule="auto"/>
        <w:jc w:val="both"/>
        <w:rPr>
          <w:rFonts w:ascii="Times New Roman" w:hAnsi="Times New Roman" w:cs="Times New Roman"/>
          <w:b/>
          <w:bCs/>
        </w:rPr>
      </w:pPr>
      <w:r>
        <w:rPr>
          <w:rFonts w:ascii="Times New Roman" w:hAnsi="Times New Roman" w:cs="Times New Roman"/>
          <w:b/>
          <w:bCs/>
        </w:rPr>
        <w:t>1.2 Objectifs du projet smartEngine</w:t>
      </w:r>
    </w:p>
    <w:p w14:paraId="03AA2646" w14:textId="77777777" w:rsidR="007D7B03" w:rsidRDefault="007D7B03" w:rsidP="007D7B03">
      <w:pPr>
        <w:spacing w:line="360" w:lineRule="auto"/>
        <w:jc w:val="both"/>
        <w:rPr>
          <w:rFonts w:ascii="Times New Roman" w:hAnsi="Times New Roman" w:cs="Times New Roman"/>
        </w:rPr>
      </w:pPr>
      <w:r>
        <w:rPr>
          <w:rFonts w:ascii="Times New Roman" w:hAnsi="Times New Roman" w:cs="Times New Roman"/>
        </w:rPr>
        <w:t>L’objectif principal du projet smartEngine est de construire un système de prédiction du churn qui permette d’identifier en amont les comptes les plus à risque. Concrètement, l’équipe doit analyser et nettoyer les données clients disponibles, identifier les signaux comportementaux précurseurs du churn et construire un modèle de scoring prédictif. Ce score sera ensuite intégré dans un dashboard à destination des équipes Customer Success, afin de prioriser les actions de rétention et d’automatiser des alertes sur les comptes critiques.</w:t>
      </w:r>
    </w:p>
    <w:p w14:paraId="5EB54181" w14:textId="77777777" w:rsidR="007D7B03" w:rsidRPr="007D7B03" w:rsidRDefault="007D7B03" w:rsidP="007D7B03">
      <w:pPr>
        <w:spacing w:line="360" w:lineRule="auto"/>
        <w:jc w:val="both"/>
        <w:rPr>
          <w:rFonts w:ascii="Times New Roman" w:hAnsi="Times New Roman" w:cs="Times New Roman"/>
        </w:rPr>
      </w:pPr>
    </w:p>
    <w:p w14:paraId="318AF803" w14:textId="77777777" w:rsidR="007D7B03" w:rsidRPr="007D7B03" w:rsidRDefault="007D7B03" w:rsidP="007D7B03">
      <w:pPr>
        <w:spacing w:line="360" w:lineRule="auto"/>
        <w:jc w:val="both"/>
        <w:rPr>
          <w:rFonts w:ascii="Times New Roman" w:hAnsi="Times New Roman" w:cs="Times New Roman"/>
          <w:b/>
          <w:bCs/>
        </w:rPr>
      </w:pPr>
      <w:r>
        <w:rPr>
          <w:rFonts w:ascii="Times New Roman" w:hAnsi="Times New Roman" w:cs="Times New Roman"/>
          <w:b/>
          <w:bCs/>
        </w:rPr>
        <w:t>1.3 Contraintes réglementaires et éthiques (RGPD, biais, transparence)</w:t>
      </w:r>
    </w:p>
    <w:p w14:paraId="3B5967DA" w14:textId="77777777" w:rsidR="007D7B03" w:rsidRPr="007D7B03" w:rsidRDefault="007D7B03" w:rsidP="007D7B03">
      <w:pPr>
        <w:spacing w:line="360" w:lineRule="auto"/>
        <w:jc w:val="both"/>
        <w:rPr>
          <w:rFonts w:ascii="Times New Roman" w:hAnsi="Times New Roman" w:cs="Times New Roman"/>
        </w:rPr>
      </w:pPr>
      <w:r>
        <w:rPr>
          <w:rFonts w:ascii="Times New Roman" w:hAnsi="Times New Roman" w:cs="Times New Roman"/>
        </w:rPr>
        <w:t>Le projet s’inscrit dans le cadre du RGPD et de la loi Informatique et Libertés, qui encadrent l’usage des données personnelles. Le RGPD impose notamment la licéité du traitement, la minimisation des données collectées, la limitation de conservation et des obligations renforcées pour les décisions automatisées, via l’article 22. Dans notre cas, le score de churn ne doit pas être utilisé pour prendre des décisions défavorables de manière entièrement automatique, sans possibilité de recours ou d’explication pour le client.</w:t>
      </w:r>
    </w:p>
    <w:p w14:paraId="6FF1EB16" w14:textId="77777777" w:rsidR="007D7B03" w:rsidRDefault="007D7B03" w:rsidP="007D7B03">
      <w:pPr>
        <w:spacing w:line="360" w:lineRule="auto"/>
        <w:jc w:val="both"/>
        <w:rPr>
          <w:rFonts w:ascii="Times New Roman" w:hAnsi="Times New Roman" w:cs="Times New Roman"/>
        </w:rPr>
      </w:pPr>
      <w:r>
        <w:rPr>
          <w:rFonts w:ascii="Times New Roman" w:hAnsi="Times New Roman" w:cs="Times New Roman"/>
        </w:rPr>
        <w:t>D’un point de vue éthique, le projet doit surveiller les risques de biais algorithmiques (par exemple, un modèle qui pénaliserait systématiquement certains secteurs ou tailles d’entreprise) et limiter l’empreinte environnementale (sobriété numérique : volume de données stockées, fréquence de ré</w:t>
        <w:noBreakHyphen/>
        <w:t>entraînement, complexité des modèles). La transparence algorithmique est également importante : les équipes métier doivent comprendre les grandes lignes du fonctionnement du score (variables importantes, comportements attendus) pour l’utiliser de façon responsable dans leurs décisions commerciales.</w:t>
      </w:r>
    </w:p>
    <w:p w14:paraId="68C00CA6" w14:textId="77777777" w:rsidR="007D7B03" w:rsidRPr="007D7B03" w:rsidRDefault="007D7B03" w:rsidP="007D7B03">
      <w:pPr>
        <w:spacing w:line="360" w:lineRule="auto"/>
        <w:jc w:val="both"/>
        <w:rPr>
          <w:rFonts w:ascii="Times New Roman" w:hAnsi="Times New Roman" w:cs="Times New Roman"/>
        </w:rPr>
      </w:pPr>
    </w:p>
    <w:p w14:paraId="2ED4A37A" w14:textId="77777777" w:rsidR="007D7B03" w:rsidRPr="007D7B03" w:rsidRDefault="007D7B03" w:rsidP="007D7B03">
      <w:pPr>
        <w:spacing w:line="360" w:lineRule="auto"/>
        <w:jc w:val="both"/>
        <w:rPr>
          <w:rFonts w:ascii="Times New Roman" w:hAnsi="Times New Roman" w:cs="Times New Roman"/>
          <w:b/>
          <w:bCs/>
        </w:rPr>
      </w:pPr>
      <w:r>
        <w:rPr>
          <w:rFonts w:ascii="Times New Roman" w:hAnsi="Times New Roman" w:cs="Times New Roman"/>
          <w:b/>
          <w:bCs/>
        </w:rPr>
        <w:t>1.4 Choix d’outils</w:t>
      </w:r>
    </w:p>
    <w:p w14:paraId="2E905C28" w14:textId="77777777" w:rsidR="007D7B03" w:rsidRPr="007D7B03" w:rsidRDefault="007D7B03" w:rsidP="007D7B03">
      <w:pPr>
        <w:spacing w:line="360" w:lineRule="auto"/>
        <w:jc w:val="both"/>
        <w:rPr>
          <w:rFonts w:ascii="Times New Roman" w:hAnsi="Times New Roman" w:cs="Times New Roman"/>
        </w:rPr>
      </w:pPr>
      <w:r>
        <w:rPr>
          <w:rFonts w:ascii="Times New Roman" w:hAnsi="Times New Roman" w:cs="Times New Roman"/>
        </w:rPr>
        <w:lastRenderedPageBreak/>
        <w:t>Le projet s’appuie sur une stack technique imposée et cohérente avec les objectifs : Gemini CLI, Python/pandas, scikit</w:t>
        <w:noBreakHyphen/>
        <w:t>learn, Streamlit, n8n et GitHub. Gemini CLI sert à orchestrer des agents d’IA capables de générer et d’exécuter du code Python pour explorer les données, construire des modèles et produire des rapports, sans que l’équipe ait à coder manuellement chaque script. Python et la bibliothèque pandas sont utilisés pour manipuler les fichiers CSV RavenStack, nettoyer les données et préparer les features, tandis que scikit</w:t>
        <w:noBreakHyphen/>
        <w:t>learn fournit les algorithmes de machine learning et les métriques nécessaires à l’évaluation du modèle de churn.</w:t>
      </w:r>
    </w:p>
    <w:p w14:paraId="732C4664" w14:textId="77777777" w:rsidR="007D7B03" w:rsidRPr="007D7B03" w:rsidRDefault="007D7B03" w:rsidP="007D7B03">
      <w:pPr>
        <w:spacing w:line="360" w:lineRule="auto"/>
        <w:jc w:val="both"/>
        <w:rPr>
          <w:rFonts w:ascii="Times New Roman" w:hAnsi="Times New Roman" w:cs="Times New Roman"/>
        </w:rPr>
      </w:pPr>
      <w:r>
        <w:rPr>
          <w:rFonts w:ascii="Times New Roman" w:hAnsi="Times New Roman" w:cs="Times New Roman"/>
        </w:rPr>
        <w:t>Streamlit est retenu pour prototyper rapidement un dashboard web qui expose le score de churn aux équipes Customer Success, avec une interface simple à utiliser. L’outil d’automatisation n8n permettra de déclencher des workflows (par exemple des alertes ou des notifications) à partir des scores de risque élevés. Enfin, GitHub joue le rôle de dépôt central du projet : il gère le versionnement du code, des agents et des documents, organise le travail par branches et héberge le backlog Sprint 1 via GitHub Projects.</w:t>
      </w:r>
    </w:p>
    <w:p w14:paraId="24377E93" w14:textId="04955EB2" w:rsidR="00904C62" w:rsidRPr="007D7B03" w:rsidRDefault="00904C62" w:rsidP="007D7B03">
      <w:pPr>
        <w:spacing w:line="360" w:lineRule="auto"/>
        <w:jc w:val="both"/>
        <w:rPr>
          <w:rFonts w:ascii="Times New Roman" w:hAnsi="Times New Roman" w:cs="Times New Roman"/>
        </w:rPr>
      </w:pPr>
    </w:p>
    <w:p w14:paraId="DD00001" w14:textId="77777777" w:rsidR="00AB1234" w:rsidRDefault="00AB1234">
      <w:pPr>
        <w:spacing w:line="360" w:lineRule="auto"/>
      </w:pPr>
      <w:r>
        <w:br w:type="page"/>
      </w:r>
    </w:p>
    <w:p w14:paraId="AA0E309" w14:textId="77777777" w:rsidR="00AB1234" w:rsidRDefault="00AB1234" w:rsidP="007D7B03">
      <w:pPr>
        <w:spacing w:line="360" w:lineRule="auto"/>
        <w:jc w:val="both"/>
        <w:rPr>
          <w:rFonts w:ascii="Times New Roman" w:hAnsi="Times New Roman" w:cs="Times New Roman"/>
          <w:b/>
          <w:bCs/>
        </w:rPr>
      </w:pPr>
      <w:r>
        <w:rPr>
          <w:rFonts w:ascii="Times New Roman" w:hAnsi="Times New Roman" w:cs="Times New Roman"/>
          <w:b/>
          <w:bCs/>
        </w:rPr>
        <w:t>2. Traitement des données</w:t>
      </w:r>
    </w:p>
    <w:p w14:paraId="CC00001" w14:textId="77777777" w:rsidR="00AB1234" w:rsidRDefault="00AB1234" w:rsidP="007D7B03">
      <w:pPr>
        <w:spacing w:line="360" w:lineRule="auto"/>
        <w:jc w:val="both"/>
      </w:pPr>
    </w:p>
    <w:p w14:paraId="AA11EAE" w14:textId="77777777" w:rsidR="00AB1234" w:rsidRDefault="00AB1234" w:rsidP="007D7B03">
      <w:pPr>
        <w:spacing w:line="360" w:lineRule="auto"/>
        <w:jc w:val="both"/>
        <w:rPr>
          <w:rFonts w:ascii="Times New Roman" w:hAnsi="Times New Roman" w:cs="Times New Roman"/>
          <w:b/>
          <w:bCs/>
        </w:rPr>
      </w:pPr>
      <w:r>
        <w:rPr>
          <w:rFonts w:ascii="Times New Roman" w:hAnsi="Times New Roman" w:cs="Times New Roman"/>
          <w:b/>
          <w:bCs/>
        </w:rPr>
        <w:t>2.1 État des données brutes</w:t>
      </w:r>
    </w:p>
    <w:p w14:paraId="BB13852" w14:textId="77777777" w:rsidR="00AB1234" w:rsidRDefault="00AB1234" w:rsidP="007D7B03">
      <w:pPr>
        <w:spacing w:line="360" w:lineRule="auto"/>
        <w:jc w:val="both"/>
        <w:rPr>
          <w:rFonts w:ascii="Times New Roman" w:hAnsi="Times New Roman" w:cs="Times New Roman"/>
        </w:rPr>
      </w:pPr>
      <w:r>
        <w:rPr>
          <w:rFonts w:ascii="Times New Roman" w:hAnsi="Times New Roman" w:cs="Times New Roman"/>
        </w:rPr>
        <w:t xml:space="preserve">Avant nettoyage, les cinq fichiers CSV présentaient des problèmes de qualité variés. Le fichier accounts.csv (~5 000 lignes) contenait des valeurs manquantes sur certains champs sectoriels et des types incorrects sur les colonnes de dates. Le fichier subscriptions.csv présentait des doublons sur certains account_id ainsi que des incohérences entre les statuts d’abonnement et les dates de résiliation. Le fichier feature_usage.csv (~60 000 lignes) était le plus volumineux et contenait des valeurs aberrantes sur les métriques d’usage. Le fichier support_tickets.csv présentait des valeurs manquantes sur les délais de résolution. Le fichier churn_events.csv était globalement propre mais nécessitait une vérification de la cohérence temporelle avec les autres fichiers.</w:t>
      </w:r>
    </w:p>
    <w:p w14:paraId="CC00002" w14:textId="77777777" w:rsidR="00AB1234" w:rsidRDefault="00AB1234" w:rsidP="007D7B03">
      <w:pPr>
        <w:spacing w:line="360" w:lineRule="auto"/>
        <w:jc w:val="both"/>
      </w:pPr>
    </w:p>
    <w:p w14:paraId="AA0B99B" w14:textId="77777777" w:rsidR="00AB1234" w:rsidRDefault="00AB1234" w:rsidP="007D7B03">
      <w:pPr>
        <w:spacing w:line="360" w:lineRule="auto"/>
        <w:jc w:val="both"/>
        <w:rPr>
          <w:rFonts w:ascii="Times New Roman" w:hAnsi="Times New Roman" w:cs="Times New Roman"/>
          <w:b/>
          <w:bCs/>
        </w:rPr>
      </w:pPr>
      <w:r>
        <w:rPr>
          <w:rFonts w:ascii="Times New Roman" w:hAnsi="Times New Roman" w:cs="Times New Roman"/>
          <w:b/>
          <w:bCs/>
        </w:rPr>
        <w:t>2.2 Décisions de nettoyage</w:t>
      </w:r>
    </w:p>
    <w:p w14:paraId="BB1455D" w14:textId="77777777" w:rsidR="00AB1234" w:rsidRDefault="00AB1234" w:rsidP="007D7B03">
      <w:pPr>
        <w:spacing w:line="360" w:lineRule="auto"/>
        <w:jc w:val="both"/>
        <w:rPr>
          <w:rFonts w:ascii="Times New Roman" w:hAnsi="Times New Roman" w:cs="Times New Roman"/>
        </w:rPr>
      </w:pPr>
      <w:r>
        <w:rPr>
          <w:rFonts w:ascii="Times New Roman" w:hAnsi="Times New Roman" w:cs="Times New Roman"/>
        </w:rPr>
        <w:t xml:space="preserve">Pour chaque problème identifié, l’équipe a choisi une stratégie adaptée au contexte métier. Les valeurs manquantes ont été traitées par imputation par la médiane pour les variables numériques et par le mode pour les variables catégorielles, afin de conserver un maximum de lignes pour l’entraînement du modèle. Les doublons ont été supprimés en conservant la ligne la plus récente. Les types incorrects ont été corrigés systématiquement (conversion to_datetime, astype). Les outliers ont été conservés avec un flag lorsqu’ils représentaient des comportements réels extrêmes (ex: un compte avec un usage très élevé peut être un signal fort de non-churn). Les incohérences inter-fichiers ont été documentées et les orphelins supprimés.</w:t>
      </w:r>
    </w:p>
    <w:p w14:paraId="CC00003" w14:textId="77777777" w:rsidR="00AB1234" w:rsidRDefault="00AB1234" w:rsidP="007D7B03">
      <w:pPr>
        <w:spacing w:line="360" w:lineRule="auto"/>
        <w:jc w:val="both"/>
      </w:pPr>
    </w:p>
    <w:p w14:paraId="AA16C3E" w14:textId="77777777" w:rsidR="00AB1234" w:rsidRDefault="00AB1234" w:rsidP="007D7B03">
      <w:pPr>
        <w:spacing w:line="360" w:lineRule="auto"/>
        <w:jc w:val="both"/>
        <w:rPr>
          <w:rFonts w:ascii="Times New Roman" w:hAnsi="Times New Roman" w:cs="Times New Roman"/>
          <w:b/>
          <w:bCs/>
        </w:rPr>
      </w:pPr>
      <w:r>
        <w:rPr>
          <w:rFonts w:ascii="Times New Roman" w:hAnsi="Times New Roman" w:cs="Times New Roman"/>
          <w:b/>
          <w:bCs/>
        </w:rPr>
        <w:t>2.3 Construction de la table analytique</w:t>
      </w:r>
    </w:p>
    <w:p w14:paraId="BB16EB6" w14:textId="77777777" w:rsidR="00AB1234" w:rsidRDefault="00AB1234" w:rsidP="007D7B03">
      <w:pPr>
        <w:spacing w:line="360" w:lineRule="auto"/>
        <w:jc w:val="both"/>
        <w:rPr>
          <w:rFonts w:ascii="Times New Roman" w:hAnsi="Times New Roman" w:cs="Times New Roman"/>
        </w:rPr>
      </w:pPr>
      <w:r>
        <w:rPr>
          <w:rFonts w:ascii="Times New Roman" w:hAnsi="Times New Roman" w:cs="Times New Roman"/>
        </w:rPr>
        <w:t xml:space="preserve">La table analytique data/processed/analytics.csv a été construite en prenant accounts.csv comme table de référence, puis en enrichissant chaque ligne par des jointures avec les quatre autres fichiers. Depuis subscriptions.csv ont été extraites la durée d’abonnement, le type de plan actuel et le nombre de changements de plan. Depuis feature_usage.csv ont été agrégées par compte les métriques d’usage (moyenne, tendance sur 3 mois, dernière valeur). Depuis support_tickets.csv ont été calculés le nombre total de tickets, le ratio de tickets critiques et le délai moyen de résolution. Depuis churn_events.csv a été construite la variable cible binaire (churn = 1 / non-churn = 0), en veillant à la cohérence temporelle entre les features et l’événement de résiliation.</w:t>
      </w:r>
    </w:p>
    <w:p w14:paraId="CC00004" w14:textId="77777777" w:rsidR="00AB1234" w:rsidRDefault="00AB1234" w:rsidP="007D7B03">
      <w:pPr>
        <w:spacing w:line="360" w:lineRule="auto"/>
        <w:jc w:val="both"/>
      </w:pPr>
    </w:p>
    <w:p w14:paraId="AA1637C" w14:textId="77777777" w:rsidR="00AB1234" w:rsidRDefault="00AB1234" w:rsidP="007D7B03">
      <w:pPr>
        <w:spacing w:line="360" w:lineRule="auto"/>
        <w:jc w:val="both"/>
        <w:rPr>
          <w:rFonts w:ascii="Times New Roman" w:hAnsi="Times New Roman" w:cs="Times New Roman"/>
          <w:b/>
          <w:bCs/>
        </w:rPr>
      </w:pPr>
      <w:r>
        <w:rPr>
          <w:rFonts w:ascii="Times New Roman" w:hAnsi="Times New Roman" w:cs="Times New Roman"/>
          <w:b/>
          <w:bCs/>
        </w:rPr>
        <w:t>2.4 Features créées</w:t>
      </w:r>
    </w:p>
    <w:p w14:paraId="BB06DD0" w14:textId="77777777" w:rsidR="00AB1234" w:rsidRDefault="00AB1234" w:rsidP="007D7B03">
      <w:pPr>
        <w:spacing w:line="360" w:lineRule="auto"/>
        <w:jc w:val="both"/>
        <w:rPr>
          <w:rFonts w:ascii="Times New Roman" w:hAnsi="Times New Roman" w:cs="Times New Roman"/>
        </w:rPr>
      </w:pPr>
      <w:r>
        <w:rPr>
          <w:rFonts w:ascii="Times New Roman" w:hAnsi="Times New Roman" w:cs="Times New Roman"/>
        </w:rPr>
        <w:t xml:space="preserve">Les principales variables dérivées créées lors du feature engineering sont : usage_total_count (activité globale du compte), usage_moyen_3mois (tendance d’usage récente), nb_features_uniques (diversité d’utilisation de la plateforme), anciennete_mois (ancienneté du compte), mrr_moyen (niveau de revenu mensuel), nb_tickets_total et ratio_tickets_critiques (signaux de détresse), jours_depuis_derniere_connexion (engagement récent). Chaque feature a été choisie pour sa capacité à capturer un signal comportemental précurseur du churn.</w:t>
      </w:r>
    </w:p>
    <w:p w14:paraId="CC00005" w14:textId="77777777" w:rsidR="00AB1234" w:rsidRDefault="00AB1234" w:rsidP="007D7B03">
      <w:pPr>
        <w:spacing w:line="360" w:lineRule="auto"/>
        <w:jc w:val="both"/>
      </w:pPr>
    </w:p>
    <w:p w14:paraId="AA08877" w14:textId="77777777" w:rsidR="00AB1234" w:rsidRDefault="00AB1234" w:rsidP="007D7B03">
      <w:pPr>
        <w:spacing w:line="360" w:lineRule="auto"/>
        <w:jc w:val="both"/>
        <w:rPr>
          <w:rFonts w:ascii="Times New Roman" w:hAnsi="Times New Roman" w:cs="Times New Roman"/>
          <w:b/>
          <w:bCs/>
        </w:rPr>
      </w:pPr>
      <w:r>
        <w:rPr>
          <w:rFonts w:ascii="Times New Roman" w:hAnsi="Times New Roman" w:cs="Times New Roman"/>
          <w:b/>
          <w:bCs/>
        </w:rPr>
        <w:t>2.5 Agent de traitement</w:t>
      </w:r>
    </w:p>
    <w:p w14:paraId="BB158A1" w14:textId="77777777" w:rsidR="00AB1234" w:rsidRDefault="00AB1234" w:rsidP="007D7B03">
      <w:pPr>
        <w:spacing w:line="360" w:lineRule="auto"/>
        <w:jc w:val="both"/>
        <w:rPr>
          <w:rFonts w:ascii="Times New Roman" w:hAnsi="Times New Roman" w:cs="Times New Roman"/>
        </w:rPr>
      </w:pPr>
      <w:r>
        <w:rPr>
          <w:rFonts w:ascii="Times New Roman" w:hAnsi="Times New Roman" w:cs="Times New Roman"/>
        </w:rPr>
        <w:t xml:space="preserve">L’équipe a choisi de créer un nouvel agent dédié (.gemini/agents/data-engineer.md) plutôt que d’enrichir l’agent d’exploration existant. Ce choix de modularité permet de séparer clairement les responsabilités : data-explorer.md pour la découverte et data-engineer.md pour le nettoyage et la transformation. L’agent a nécessité plusieurs itérations avant de produire des scripts corrects, notamment sur la gestion de la temporalité pour la variable cible et sur le traitement des outliers. Les scripts finaux (clean_data.py, build_features.py, build_analytics.py) ont été validés manuellement avant d’être committés.</w:t>
      </w:r>
    </w:p>
    <w:p w14:paraId="CC00006" w14:textId="77777777" w:rsidR="00AB1234" w:rsidRDefault="00AB1234" w:rsidP="007D7B03">
      <w:pPr>
        <w:spacing w:line="360" w:lineRule="auto"/>
        <w:jc w:val="both"/>
      </w:pPr>
    </w:p>
    <w:p w14:paraId="DD00002" w14:textId="77777777" w:rsidR="00AB1234" w:rsidRDefault="00AB1234">
      <w:pPr>
        <w:spacing w:line="360" w:lineRule="auto"/>
      </w:pPr>
      <w:r>
        <w:br w:type="page"/>
      </w:r>
    </w:p>
    <w:p w14:paraId="AA16584" w14:textId="77777777" w:rsidR="00AB1234" w:rsidRDefault="00AB1234" w:rsidP="007D7B03">
      <w:pPr>
        <w:spacing w:line="360" w:lineRule="auto"/>
        <w:jc w:val="both"/>
        <w:rPr>
          <w:rFonts w:ascii="Times New Roman" w:hAnsi="Times New Roman" w:cs="Times New Roman"/>
          <w:b/>
          <w:bCs/>
        </w:rPr>
      </w:pPr>
      <w:r>
        <w:rPr>
          <w:rFonts w:ascii="Times New Roman" w:hAnsi="Times New Roman" w:cs="Times New Roman"/>
          <w:b/>
          <w:bCs/>
        </w:rPr>
        <w:t>3. Modélisation</w:t>
      </w:r>
    </w:p>
    <w:p w14:paraId="CC00007" w14:textId="77777777" w:rsidR="00AB1234" w:rsidRDefault="00AB1234" w:rsidP="007D7B03">
      <w:pPr>
        <w:spacing w:line="360" w:lineRule="auto"/>
        <w:jc w:val="both"/>
      </w:pPr>
    </w:p>
    <w:p w14:paraId="AA0AE01" w14:textId="77777777" w:rsidR="00AB1234" w:rsidRDefault="00AB1234" w:rsidP="007D7B03">
      <w:pPr>
        <w:spacing w:line="360" w:lineRule="auto"/>
        <w:jc w:val="both"/>
        <w:rPr>
          <w:rFonts w:ascii="Times New Roman" w:hAnsi="Times New Roman" w:cs="Times New Roman"/>
          <w:b/>
          <w:bCs/>
        </w:rPr>
      </w:pPr>
      <w:r>
        <w:rPr>
          <w:rFonts w:ascii="Times New Roman" w:hAnsi="Times New Roman" w:cs="Times New Roman"/>
          <w:b/>
          <w:bCs/>
        </w:rPr>
        <w:t>3.1 Choix des algorithmes</w:t>
      </w:r>
    </w:p>
    <w:p w14:paraId="BB0C2C0" w14:textId="77777777" w:rsidR="00AB1234" w:rsidRDefault="00AB1234" w:rsidP="007D7B03">
      <w:pPr>
        <w:spacing w:line="360" w:lineRule="auto"/>
        <w:jc w:val="both"/>
        <w:rPr>
          <w:rFonts w:ascii="Times New Roman" w:hAnsi="Times New Roman" w:cs="Times New Roman"/>
        </w:rPr>
      </w:pPr>
      <w:r>
        <w:rPr>
          <w:rFonts w:ascii="Times New Roman" w:hAnsi="Times New Roman" w:cs="Times New Roman"/>
        </w:rPr>
        <w:t xml:space="preserve">Trois algorithmes ont été comparés sur la table analytique produite au Sprint 2 : Régression Logistique (AUC-ROC = 0.6619), Random Forest (AUC-ROC = 0.6314) et Gradient Boosting (AUC-ROC = 0.6086). La Régression Logistique a été retenue comme modèle principal car elle présente le meilleur AUC-ROC et offre une interprétabilité claire via l’analyse SHAP. Cette transparence est essentielle pour justifier les alertes auprès des équipes Customer Success, conformément aux exigences de l’article 22 du RGPD sur les décisions automatisées.</w:t>
      </w:r>
    </w:p>
    <w:p w14:paraId="CC00008" w14:textId="77777777" w:rsidR="00AB1234" w:rsidRDefault="00AB1234" w:rsidP="007D7B03">
      <w:pPr>
        <w:spacing w:line="360" w:lineRule="auto"/>
        <w:jc w:val="both"/>
      </w:pPr>
    </w:p>
    <w:p w14:paraId="AA12CF8" w14:textId="77777777" w:rsidR="00AB1234" w:rsidRDefault="00AB1234" w:rsidP="007D7B03">
      <w:pPr>
        <w:spacing w:line="360" w:lineRule="auto"/>
        <w:jc w:val="both"/>
        <w:rPr>
          <w:rFonts w:ascii="Times New Roman" w:hAnsi="Times New Roman" w:cs="Times New Roman"/>
          <w:b/>
          <w:bCs/>
        </w:rPr>
      </w:pPr>
      <w:r>
        <w:rPr>
          <w:rFonts w:ascii="Times New Roman" w:hAnsi="Times New Roman" w:cs="Times New Roman"/>
          <w:b/>
          <w:bCs/>
        </w:rPr>
        <w:t>3.2 Prétraitement</w:t>
      </w:r>
    </w:p>
    <w:p w14:paraId="BB167FC" w14:textId="77777777" w:rsidR="00AB1234" w:rsidRDefault="00AB1234" w:rsidP="007D7B03">
      <w:pPr>
        <w:spacing w:line="360" w:lineRule="auto"/>
        <w:jc w:val="both"/>
        <w:rPr>
          <w:rFonts w:ascii="Times New Roman" w:hAnsi="Times New Roman" w:cs="Times New Roman"/>
        </w:rPr>
      </w:pPr>
      <w:r>
        <w:rPr>
          <w:rFonts w:ascii="Times New Roman" w:hAnsi="Times New Roman" w:cs="Times New Roman"/>
        </w:rPr>
        <w:t xml:space="preserve">Une normalisation StandardScaler a été appliquée avant l’entraînement. Ce prétraitement est nécessaire pour la Régression Logistique qui est sensible aux différences d’échelle entre les variables. Les variables catégorielles ont été encodées par label encoding. Ces étapes sont intégrées dans le pipeline de prédiction pour garantir leur application systématique lors du scoring de nouveaux comptes.</w:t>
      </w:r>
    </w:p>
    <w:p w14:paraId="CC00009" w14:textId="77777777" w:rsidR="00AB1234" w:rsidRDefault="00AB1234" w:rsidP="007D7B03">
      <w:pPr>
        <w:spacing w:line="360" w:lineRule="auto"/>
        <w:jc w:val="both"/>
      </w:pPr>
    </w:p>
    <w:p w14:paraId="AA0AF34" w14:textId="77777777" w:rsidR="00AB1234" w:rsidRDefault="00AB1234" w:rsidP="007D7B03">
      <w:pPr>
        <w:spacing w:line="360" w:lineRule="auto"/>
        <w:jc w:val="both"/>
        <w:rPr>
          <w:rFonts w:ascii="Times New Roman" w:hAnsi="Times New Roman" w:cs="Times New Roman"/>
          <w:b/>
          <w:bCs/>
        </w:rPr>
      </w:pPr>
      <w:r>
        <w:rPr>
          <w:rFonts w:ascii="Times New Roman" w:hAnsi="Times New Roman" w:cs="Times New Roman"/>
          <w:b/>
          <w:bCs/>
        </w:rPr>
        <w:t>3.3 Variables les plus importantes (analyse SHAP)</w:t>
      </w:r>
    </w:p>
    <w:p w14:paraId="BB0E931" w14:textId="77777777" w:rsidR="00AB1234" w:rsidRDefault="00AB1234" w:rsidP="007D7B03">
      <w:pPr>
        <w:spacing w:line="360" w:lineRule="auto"/>
        <w:jc w:val="both"/>
        <w:rPr>
          <w:rFonts w:ascii="Times New Roman" w:hAnsi="Times New Roman" w:cs="Times New Roman"/>
        </w:rPr>
      </w:pPr>
      <w:r>
        <w:rPr>
          <w:rFonts w:ascii="Times New Roman" w:hAnsi="Times New Roman" w:cs="Times New Roman"/>
        </w:rPr>
        <w:t xml:space="preserve">L’analyse SHAP (SHapley Additive exPlanations) a permis d’identifier les cinq variables les plus influentes sur la prédiction : usage_total_count (importance 360.51) — une baisse radicale de l’activité globale signale un abandon progressif de l’outil ; mrr_moyen (35.44) — les comptes à MRR élevé sont plus stables, mais leur départ serait plus coûteux ; usage_moyen_3mois (6.90) — une déconnexion entre l’usage historique et récent est un signal critique ; anciennete_mois (5.33) — les nouveaux clients sont plus fragiles (phénomène d’early churn) ; nb_features_uniques (4.59) — un client qui utilise peu de fonctionnalités différentes perçoit moins la valeur de la plateforme.</w:t>
      </w:r>
    </w:p>
    <w:p w14:paraId="CC0000A" w14:textId="77777777" w:rsidR="00AB1234" w:rsidRDefault="00AB1234" w:rsidP="007D7B03">
      <w:pPr>
        <w:spacing w:line="360" w:lineRule="auto"/>
        <w:jc w:val="both"/>
      </w:pPr>
    </w:p>
    <w:p w14:paraId="AA11CD0" w14:textId="77777777" w:rsidR="00AB1234" w:rsidRDefault="00AB1234" w:rsidP="007D7B03">
      <w:pPr>
        <w:spacing w:line="360" w:lineRule="auto"/>
        <w:jc w:val="both"/>
        <w:rPr>
          <w:rFonts w:ascii="Times New Roman" w:hAnsi="Times New Roman" w:cs="Times New Roman"/>
          <w:b/>
          <w:bCs/>
        </w:rPr>
      </w:pPr>
      <w:r>
        <w:rPr>
          <w:rFonts w:ascii="Times New Roman" w:hAnsi="Times New Roman" w:cs="Times New Roman"/>
          <w:b/>
          <w:bCs/>
        </w:rPr>
        <w:t>3.4 Seuils de risque</w:t>
      </w:r>
    </w:p>
    <w:p w14:paraId="BB0390A" w14:textId="77777777" w:rsidR="00AB1234" w:rsidRDefault="00AB1234" w:rsidP="007D7B03">
      <w:pPr>
        <w:spacing w:line="360" w:lineRule="auto"/>
        <w:jc w:val="both"/>
        <w:rPr>
          <w:rFonts w:ascii="Times New Roman" w:hAnsi="Times New Roman" w:cs="Times New Roman"/>
        </w:rPr>
      </w:pPr>
      <w:r>
        <w:rPr>
          <w:rFonts w:ascii="Times New Roman" w:hAnsi="Times New Roman" w:cs="Times New Roman"/>
        </w:rPr>
        <w:t xml:space="preserve">Les scores de probabilité (0 à 1) ont été segmentés en trois niveaux basés sur les percentiles 50 et 80 de la distribution observée. Niveau High (score ≥ 0.95) : risque critique, action immédiate du CSM recommandée (appel direct, offre de rétention). Niveau Medium (score entre 0.86 et 0.95) : surveillance active, envoi d’un email automatisé de check-up. Niveau Low (score &lt; 0.86) : compte stable, suivi standard. Ces seuils garantissent que l’équipe CSM concentre ses efforts sur les 20% de comptes les plus à risque.</w:t>
      </w:r>
    </w:p>
    <w:p w14:paraId="CC0000B" w14:textId="77777777" w:rsidR="00AB1234" w:rsidRDefault="00AB1234" w:rsidP="007D7B03">
      <w:pPr>
        <w:spacing w:line="360" w:lineRule="auto"/>
        <w:jc w:val="both"/>
      </w:pPr>
    </w:p>
    <w:p w14:paraId="AA08093" w14:textId="77777777" w:rsidR="00AB1234" w:rsidRDefault="00AB1234" w:rsidP="007D7B03">
      <w:pPr>
        <w:spacing w:line="360" w:lineRule="auto"/>
        <w:jc w:val="both"/>
        <w:rPr>
          <w:rFonts w:ascii="Times New Roman" w:hAnsi="Times New Roman" w:cs="Times New Roman"/>
          <w:b/>
          <w:bCs/>
        </w:rPr>
      </w:pPr>
      <w:r>
        <w:rPr>
          <w:rFonts w:ascii="Times New Roman" w:hAnsi="Times New Roman" w:cs="Times New Roman"/>
          <w:b/>
          <w:bCs/>
        </w:rPr>
        <w:t>3.5 Analyse de biais</w:t>
      </w:r>
    </w:p>
    <w:p w14:paraId="BB07969" w14:textId="77777777" w:rsidR="00AB1234" w:rsidRDefault="00AB1234" w:rsidP="007D7B03">
      <w:pPr>
        <w:spacing w:line="360" w:lineRule="auto"/>
        <w:jc w:val="both"/>
        <w:rPr>
          <w:rFonts w:ascii="Times New Roman" w:hAnsi="Times New Roman" w:cs="Times New Roman"/>
        </w:rPr>
      </w:pPr>
      <w:r>
        <w:rPr>
          <w:rFonts w:ascii="Times New Roman" w:hAnsi="Times New Roman" w:cs="Times New Roman"/>
        </w:rPr>
        <w:t xml:space="preserve">Le modèle a été audité par segments pour garantir l’équité des alertes. Par industrie, des disparités ont été identifiées : le secteur FinTech présente un recall de 53.3% (le modèle manque près de la moitié des churners), tandis que Cybersecurity, EdTech et DevTools affichent un recall supérieur à 80%. Par type de plan, les comptes SMB ont un recall de 78.8% contre 55.5% pour les comptes Enterprise. Ces biais indiquent que le modèle est moins performant sur les gros comptes et le secteur financier. Une collecte de données spécifiques à ces segments est recommandée pour améliorer les performances futures.</w:t>
      </w:r>
    </w:p>
    <w:p w14:paraId="CC0000C" w14:textId="77777777" w:rsidR="00AB1234" w:rsidRDefault="00AB1234" w:rsidP="007D7B03">
      <w:pPr>
        <w:spacing w:line="360" w:lineRule="auto"/>
        <w:jc w:val="both"/>
      </w:pPr>
    </w:p>
    <w:p w14:paraId="AA111AC" w14:textId="77777777" w:rsidR="00AB1234" w:rsidRDefault="00AB1234" w:rsidP="007D7B03">
      <w:pPr>
        <w:spacing w:line="360" w:lineRule="auto"/>
        <w:jc w:val="both"/>
        <w:rPr>
          <w:rFonts w:ascii="Times New Roman" w:hAnsi="Times New Roman" w:cs="Times New Roman"/>
          <w:b/>
          <w:bCs/>
        </w:rPr>
      </w:pPr>
      <w:r>
        <w:rPr>
          <w:rFonts w:ascii="Times New Roman" w:hAnsi="Times New Roman" w:cs="Times New Roman"/>
          <w:b/>
          <w:bCs/>
        </w:rPr>
        <w:t>3.6 Limites et recommandations</w:t>
      </w:r>
    </w:p>
    <w:p w14:paraId="BB16180" w14:textId="77777777" w:rsidR="00AB1234" w:rsidRDefault="00AB1234" w:rsidP="007D7B03">
      <w:pPr>
        <w:spacing w:line="360" w:lineRule="auto"/>
        <w:jc w:val="both"/>
        <w:rPr>
          <w:rFonts w:ascii="Times New Roman" w:hAnsi="Times New Roman" w:cs="Times New Roman"/>
        </w:rPr>
      </w:pPr>
      <w:r>
        <w:rPr>
          <w:rFonts w:ascii="Times New Roman" w:hAnsi="Times New Roman" w:cs="Times New Roman"/>
        </w:rPr>
        <w:t xml:space="preserve">Le modèle présente un AUC-ROC modéré de 0.66. Il est retenu pour la phase pilote en raison de son interprétabilité et de sa simplicité de déploiement. Pour améliorer les performances, plusieurs pistes sont envisageables : enrichissement des données sur les segments sous-performants (Enterprise, FinTech), ajout de features comportementales supplémentaires (fréquence des connexions, évolution du MRR), et ré-entraînement périodique du modèle à mesure que de nouvelles données de churn sont disponibles.</w:t>
      </w:r>
    </w:p>
    <w:p w14:paraId="CC0000D" w14:textId="77777777" w:rsidR="00AB1234" w:rsidRDefault="00AB1234" w:rsidP="007D7B03">
      <w:pPr>
        <w:spacing w:line="360" w:lineRule="auto"/>
        <w:jc w:val="both"/>
      </w:pPr>
    </w:p>
    <w:p w14:paraId="AA087D2" w14:textId="77777777" w:rsidR="00AB1234" w:rsidRDefault="00AB1234" w:rsidP="007D7B03">
      <w:pPr>
        <w:spacing w:line="360" w:lineRule="auto"/>
        <w:jc w:val="both"/>
        <w:rPr>
          <w:rFonts w:ascii="Times New Roman" w:hAnsi="Times New Roman" w:cs="Times New Roman"/>
          <w:b/>
          <w:bCs/>
        </w:rPr>
      </w:pPr>
      <w:r>
        <w:rPr>
          <w:rFonts w:ascii="Times New Roman" w:hAnsi="Times New Roman" w:cs="Times New Roman"/>
          <w:b/>
          <w:bCs/>
        </w:rPr>
        <w:t>3.7 Agent de modélisation</w:t>
      </w:r>
    </w:p>
    <w:p w14:paraId="BB10D4B" w14:textId="77777777" w:rsidR="00AB1234" w:rsidRDefault="00AB1234" w:rsidP="007D7B03">
      <w:pPr>
        <w:spacing w:line="360" w:lineRule="auto"/>
        <w:jc w:val="both"/>
        <w:rPr>
          <w:rFonts w:ascii="Times New Roman" w:hAnsi="Times New Roman" w:cs="Times New Roman"/>
        </w:rPr>
      </w:pPr>
      <w:r>
        <w:rPr>
          <w:rFonts w:ascii="Times New Roman" w:hAnsi="Times New Roman" w:cs="Times New Roman"/>
        </w:rPr>
        <w:t xml:space="preserve">L’agent model-trainer.md a été créé dans .gemini/agents/ pour orchestrer l’entraînement, l’évaluation et le scoring du modèle. Il a produit les scripts train_model.py, analyze_model_details.py et update_risk_levels.py. Plusieurs itérations ont été nécessaires pour ajuster les seuils de risque et équilibrer les classes dans les données d’entraînement. Le rapport final (outputs/rapport-modele.md) et les scores (outputs/scores.csv) ont été validés avant intégration dans la branche main.</w:t>
      </w:r>
    </w:p>
    <w:sectPr w:rsidR="00904C62" w:rsidRPr="007D7B0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15D32"/>
    <w:multiLevelType w:val="hybridMultilevel"/>
    <w:tmpl w:val="C9544FB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698745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B03"/>
    <w:rsid w:val="00005A83"/>
    <w:rsid w:val="000E3877"/>
    <w:rsid w:val="004C424D"/>
    <w:rsid w:val="007D7B03"/>
    <w:rsid w:val="00902908"/>
    <w:rsid w:val="00904C6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ecimalSymbol w:val=","/>
  <w:listSeparator w:val=";"/>
  <w14:docId w14:val="6A10019D"/>
  <w15:chartTrackingRefBased/>
  <w15:docId w15:val="{BB84F239-0D84-704B-8983-24DD7E8F8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D7B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D7B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D7B0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D7B0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D7B0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D7B03"/>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D7B03"/>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D7B03"/>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D7B03"/>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D7B0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D7B0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D7B0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D7B0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D7B0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D7B0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D7B0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D7B0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D7B03"/>
    <w:rPr>
      <w:rFonts w:eastAsiaTheme="majorEastAsia" w:cstheme="majorBidi"/>
      <w:color w:val="272727" w:themeColor="text1" w:themeTint="D8"/>
    </w:rPr>
  </w:style>
  <w:style w:type="paragraph" w:styleId="Titre">
    <w:name w:val="Title"/>
    <w:basedOn w:val="Normal"/>
    <w:next w:val="Normal"/>
    <w:link w:val="TitreCar"/>
    <w:uiPriority w:val="10"/>
    <w:qFormat/>
    <w:rsid w:val="007D7B03"/>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D7B0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D7B03"/>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D7B0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D7B03"/>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7D7B03"/>
    <w:rPr>
      <w:i/>
      <w:iCs/>
      <w:color w:val="404040" w:themeColor="text1" w:themeTint="BF"/>
    </w:rPr>
  </w:style>
  <w:style w:type="paragraph" w:styleId="Paragraphedeliste">
    <w:name w:val="List Paragraph"/>
    <w:basedOn w:val="Normal"/>
    <w:uiPriority w:val="34"/>
    <w:qFormat/>
    <w:rsid w:val="007D7B03"/>
    <w:pPr>
      <w:ind w:left="720"/>
      <w:contextualSpacing/>
    </w:pPr>
  </w:style>
  <w:style w:type="character" w:styleId="Accentuationintense">
    <w:name w:val="Intense Emphasis"/>
    <w:basedOn w:val="Policepardfaut"/>
    <w:uiPriority w:val="21"/>
    <w:qFormat/>
    <w:rsid w:val="007D7B03"/>
    <w:rPr>
      <w:i/>
      <w:iCs/>
      <w:color w:val="0F4761" w:themeColor="accent1" w:themeShade="BF"/>
    </w:rPr>
  </w:style>
  <w:style w:type="paragraph" w:styleId="Citationintense">
    <w:name w:val="Intense Quote"/>
    <w:basedOn w:val="Normal"/>
    <w:next w:val="Normal"/>
    <w:link w:val="CitationintenseCar"/>
    <w:uiPriority w:val="30"/>
    <w:qFormat/>
    <w:rsid w:val="007D7B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D7B03"/>
    <w:rPr>
      <w:i/>
      <w:iCs/>
      <w:color w:val="0F4761" w:themeColor="accent1" w:themeShade="BF"/>
    </w:rPr>
  </w:style>
  <w:style w:type="character" w:styleId="Rfrenceintense">
    <w:name w:val="Intense Reference"/>
    <w:basedOn w:val="Policepardfaut"/>
    <w:uiPriority w:val="32"/>
    <w:qFormat/>
    <w:rsid w:val="007D7B03"/>
    <w:rPr>
      <w:b/>
      <w:bCs/>
      <w:smallCaps/>
      <w:color w:val="0F4761" w:themeColor="accent1" w:themeShade="BF"/>
      <w:spacing w:val="5"/>
    </w:rPr>
  </w:style>
  <w:style w:type="paragraph" w:customStyle="1" w:styleId="my-2">
    <w:name w:val="my-2"/>
    <w:basedOn w:val="Normal"/>
    <w:rsid w:val="007D7B03"/>
    <w:pPr>
      <w:spacing w:before="100" w:beforeAutospacing="1" w:after="100" w:afterAutospacing="1"/>
    </w:pPr>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544</Words>
  <Characters>2993</Characters>
  <Application>Microsoft Office Word</Application>
  <DocSecurity>0</DocSecurity>
  <Lines>24</Lines>
  <Paragraphs>7</Paragraphs>
  <ScaleCrop>false</ScaleCrop>
  <Company/>
  <LinksUpToDate>false</LinksUpToDate>
  <CharactersWithSpaces>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Benkorreche,Wafaa (AH GCB) BIAH-FR-L</dc:creator>
  <cp:keywords/>
  <dc:description/>
  <cp:lastModifiedBy>Benkorreche,Wafaa (AH GCB) BIAH-FR-L</cp:lastModifiedBy>
  <cp:revision>1</cp:revision>
  <dcterms:created xsi:type="dcterms:W3CDTF">2026-03-10T17:15:00Z</dcterms:created>
  <dcterms:modified xsi:type="dcterms:W3CDTF">2026-03-10T17:17:00Z</dcterms:modified>
</cp:coreProperties>
</file>