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IV. Experiments and Results</w:t>
      </w:r>
    </w:p>
    <w:p>
      <w:pPr>
        <w:pStyle w:val="Heading2"/>
        <w:spacing w:after="120" w:before="240"/>
      </w:pPr>
      <w:r>
        <w:rPr>
          <w:rFonts w:ascii="Times New Roman" w:cs="Times New Roman" w:eastAsia="Times New Roman" w:hAnsi="Times New Roman"/>
          <w:b/>
          <w:bCs/>
          <w:i/>
          <w:iCs/>
          <w:sz w:val="24"/>
          <w:szCs w:val="24"/>
        </w:rPr>
        <w:t xml:space="preserve">A. Experimental Setup</w:t>
      </w:r>
    </w:p>
    <w:p>
      <w:pPr>
        <w:spacing w:after="160" w:before="0" w:line="276" w:lineRule="auto"/>
        <w:ind w:firstLine="720"/>
        <w:jc w:val="both"/>
      </w:pPr>
      <w:r>
        <w:rPr>
          <w:rFonts w:ascii="Times New Roman" w:cs="Times New Roman" w:eastAsia="Times New Roman" w:hAnsi="Times New Roman"/>
          <w:sz w:val="24"/>
          <w:szCs w:val="24"/>
        </w:rPr>
        <w:t xml:space="preserve">All experiments were conducted under a simulated federated learning environment comprising three hospital clients, denoted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each holding a non-IID partition of the COVID-19 Radiography Dataset [</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The dataset contains chest radiograph images across four diagnostic classes: COVID-19, Lung Opacity, Normal, and Viral Pneumonia (VP). A 15% stratified holdout was reserved as a shared test set prior to client partitioning. Client data distributions were generated using Dirichlet sampling (α = 0.5) with enforced class dominance constraints: Client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was assigned ≥70% COVID-19 images (n ≈ 6,158), Client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was assigned ≥70% Lung Opacity images (n ≈ 9,249), and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was assigned ≥70% Viral Pneumonia images (n ≈ 2,581). This configuration deliberately induced severe class imbalance, particularly for the VP minority class, which is disproportionately concentrated at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the smallest and most privacy-sensitive client.</w:t>
      </w:r>
    </w:p>
    <w:p>
      <w:pPr>
        <w:spacing w:after="160" w:before="0" w:line="276" w:lineRule="auto"/>
        <w:ind w:firstLine="720"/>
        <w:jc w:val="both"/>
      </w:pPr>
      <w:r>
        <w:rPr>
          <w:rFonts w:ascii="Times New Roman" w:cs="Times New Roman" w:eastAsia="Times New Roman" w:hAnsi="Times New Roman"/>
          <w:sz w:val="24"/>
          <w:szCs w:val="24"/>
        </w:rPr>
        <w:t xml:space="preserve">Feature extraction was performed using a frozen DenseNet-121 backbone pretrained on the ChestX-ray14 dataset (TorchXRayVision [</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yielding 1,024-dimensional feature vectors per image. A lightweight MLP classifier head was trained federally across clients. Differential privacy was enforced per-client using Opacus [</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24"/>
          <w:szCs w:val="24"/>
        </w:rPr>
        <w:t xml:space="preserve">] with Rényi Differential Privacy (RDP) accounting [</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4"/>
          <w:szCs w:val="24"/>
        </w:rPr>
        <w:t xml:space="preserve">]. All experiments used a non-private warmstart phase followed by DP-protected federated rounds, consistent with established practice in DP-FL [</w:t>
      </w:r>
      <w:r>
        <w:rPr>
          <w:rFonts w:ascii="Times New Roman" w:cs="Times New Roman" w:eastAsia="Times New Roman" w:hAnsi="Times New Roman"/>
          <w:sz w:val="18"/>
          <w:szCs w:val="18"/>
          <w:vertAlign w:val="superscript"/>
        </w:rPr>
        <w:t xml:space="preserve">5</w:t>
      </w:r>
      <w:r>
        <w:rPr>
          <w:rFonts w:ascii="Times New Roman" w:cs="Times New Roman" w:eastAsia="Times New Roman" w:hAnsi="Times New Roman"/>
          <w:sz w:val="24"/>
          <w:szCs w:val="24"/>
        </w:rPr>
        <w:t xml:space="preserve">]. The primary evaluation metric was Viral Pneumonia F1 score, given its direct clinical relevance as the most at-risk class under DP noise. Macro-averaged F1 and accuracy served as secondary metrics.</w:t>
      </w:r>
    </w:p>
    <w:p>
      <w:pPr>
        <w:spacing w:after="80" w:before="0"/>
      </w:pPr>
    </w:p>
    <w:p>
      <w:pPr>
        <w:pStyle w:val="Heading2"/>
        <w:spacing w:after="120" w:before="240"/>
      </w:pPr>
      <w:r>
        <w:rPr>
          <w:rFonts w:ascii="Times New Roman" w:cs="Times New Roman" w:eastAsia="Times New Roman" w:hAnsi="Times New Roman"/>
          <w:b/>
          <w:bCs/>
          <w:i/>
          <w:iCs/>
          <w:sz w:val="24"/>
          <w:szCs w:val="24"/>
        </w:rPr>
        <w:t xml:space="preserve">B. Baselines</w:t>
      </w:r>
    </w:p>
    <w:p>
      <w:pPr>
        <w:spacing w:after="160" w:before="0" w:line="276" w:lineRule="auto"/>
        <w:ind w:firstLine="720"/>
        <w:jc w:val="both"/>
      </w:pPr>
      <w:r>
        <w:rPr>
          <w:rFonts w:ascii="Times New Roman" w:cs="Times New Roman" w:eastAsia="Times New Roman" w:hAnsi="Times New Roman"/>
          <w:sz w:val="24"/>
          <w:szCs w:val="24"/>
        </w:rPr>
        <w:t xml:space="preserve">FedAdaPriv-CPU was evaluated against five baselines spanning the spectrum from no privacy to full differential privacy:</w:t>
      </w:r>
    </w:p>
    <w:p>
      <w:pPr>
        <w:spacing w:after="160" w:before="80" w:line="276" w:lineRule="auto"/>
        <w:ind w:firstLine="720"/>
        <w:jc w:val="both"/>
      </w:pPr>
      <w:r>
        <w:rPr>
          <w:rFonts w:ascii="Times New Roman" w:cs="Times New Roman" w:eastAsia="Times New Roman" w:hAnsi="Times New Roman"/>
          <w:b/>
          <w:bCs/>
          <w:sz w:val="24"/>
          <w:szCs w:val="24"/>
        </w:rPr>
        <w:t xml:space="preserve">No-DP Upper Bound.</w:t>
      </w:r>
      <w:r>
        <w:rPr>
          <w:rFonts w:ascii="Times New Roman" w:cs="Times New Roman" w:eastAsia="Times New Roman" w:hAnsi="Times New Roman"/>
          <w:sz w:val="24"/>
          <w:szCs w:val="24"/>
        </w:rPr>
        <w:t xml:space="preserve"> Standard FedAvg [</w:t>
      </w:r>
      <w:r>
        <w:rPr>
          <w:rFonts w:ascii="Times New Roman" w:cs="Times New Roman" w:eastAsia="Times New Roman" w:hAnsi="Times New Roman"/>
          <w:sz w:val="18"/>
          <w:szCs w:val="18"/>
          <w:vertAlign w:val="superscript"/>
        </w:rPr>
        <w:t xml:space="preserve">6</w:t>
      </w:r>
      <w:r>
        <w:rPr>
          <w:rFonts w:ascii="Times New Roman" w:cs="Times New Roman" w:eastAsia="Times New Roman" w:hAnsi="Times New Roman"/>
          <w:sz w:val="24"/>
          <w:szCs w:val="24"/>
        </w:rPr>
        <w:t xml:space="preserve">] without any privacy mechanism, establishing the performance ceiling attainable absent DP constraints.</w:t>
      </w:r>
    </w:p>
    <w:p>
      <w:pPr>
        <w:spacing w:after="160" w:before="0" w:line="276" w:lineRule="auto"/>
        <w:ind w:firstLine="720"/>
        <w:jc w:val="both"/>
      </w:pPr>
      <w:r>
        <w:rPr>
          <w:rFonts w:ascii="Times New Roman" w:cs="Times New Roman" w:eastAsia="Times New Roman" w:hAnsi="Times New Roman"/>
          <w:b/>
          <w:bCs/>
          <w:sz w:val="24"/>
          <w:szCs w:val="24"/>
        </w:rPr>
        <w:t xml:space="preserve">Local-Only Lower Bound.</w:t>
      </w:r>
      <w:r>
        <w:rPr>
          <w:rFonts w:ascii="Times New Roman" w:cs="Times New Roman" w:eastAsia="Times New Roman" w:hAnsi="Times New Roman"/>
          <w:sz w:val="24"/>
          <w:szCs w:val="24"/>
        </w:rPr>
        <w:t xml:space="preserve"> Each client trains independently on its local data without any federated aggregation, representing the floor of collaborative benefit.</w:t>
      </w:r>
    </w:p>
    <w:p>
      <w:pPr>
        <w:spacing w:after="160" w:before="0" w:line="276" w:lineRule="auto"/>
        <w:ind w:firstLine="720"/>
        <w:jc w:val="both"/>
      </w:pPr>
      <w:r>
        <w:rPr>
          <w:rFonts w:ascii="Times New Roman" w:cs="Times New Roman" w:eastAsia="Times New Roman" w:hAnsi="Times New Roman"/>
          <w:b/>
          <w:bCs/>
          <w:sz w:val="24"/>
          <w:szCs w:val="24"/>
        </w:rPr>
        <w:t xml:space="preserve">Fixed DP-FedAvg.</w:t>
      </w:r>
      <w:r>
        <w:rPr>
          <w:rFonts w:ascii="Times New Roman" w:cs="Times New Roman" w:eastAsia="Times New Roman" w:hAnsi="Times New Roman"/>
          <w:sz w:val="24"/>
          <w:szCs w:val="24"/>
        </w:rPr>
        <w:t xml:space="preserve"> Standard FedAvg augmented with uniform per-client DP noise computed from a single global ε budget, serving as the primary comparison point for our adaptive epsilon allocation strategy.</w:t>
      </w:r>
    </w:p>
    <w:p>
      <w:pPr>
        <w:spacing w:after="160" w:before="0" w:line="276" w:lineRule="auto"/>
        <w:ind w:firstLine="720"/>
        <w:jc w:val="both"/>
      </w:pPr>
      <w:r>
        <w:rPr>
          <w:rFonts w:ascii="Times New Roman" w:cs="Times New Roman" w:eastAsia="Times New Roman" w:hAnsi="Times New Roman"/>
          <w:b/>
          <w:bCs/>
          <w:sz w:val="24"/>
          <w:szCs w:val="24"/>
        </w:rPr>
        <w:t xml:space="preserve">DP-FedProx.</w:t>
      </w:r>
      <w:r>
        <w:rPr>
          <w:rFonts w:ascii="Times New Roman" w:cs="Times New Roman" w:eastAsia="Times New Roman" w:hAnsi="Times New Roman"/>
          <w:sz w:val="24"/>
          <w:szCs w:val="24"/>
        </w:rPr>
        <w:t xml:space="preserve"> The federated proximal optimization method of Li et al. [</w:t>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sz w:val="24"/>
          <w:szCs w:val="24"/>
        </w:rPr>
        <w:t xml:space="preserve">] extended with DP noise, which introduces a proximal regularization term to handle client heterogeneity. This baseline controls for the effect of objective-level heterogeneity handling versus our privacy-budget-level adaptation.</w:t>
      </w:r>
    </w:p>
    <w:p>
      <w:pPr>
        <w:spacing w:after="160" w:before="0" w:line="276" w:lineRule="auto"/>
        <w:ind w:firstLine="720"/>
        <w:jc w:val="both"/>
      </w:pPr>
      <w:r>
        <w:rPr>
          <w:rFonts w:ascii="Times New Roman" w:cs="Times New Roman" w:eastAsia="Times New Roman" w:hAnsi="Times New Roman"/>
          <w:b/>
          <w:bCs/>
          <w:sz w:val="24"/>
          <w:szCs w:val="24"/>
        </w:rPr>
        <w:t xml:space="preserve">Time-Adaptive DP-FL.</w:t>
      </w:r>
      <w:r>
        <w:rPr>
          <w:rFonts w:ascii="Times New Roman" w:cs="Times New Roman" w:eastAsia="Times New Roman" w:hAnsi="Times New Roman"/>
          <w:sz w:val="24"/>
          <w:szCs w:val="24"/>
        </w:rPr>
        <w:t xml:space="preserve"> The round-decay epsilon scheduling method of Kiani et al. [</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24"/>
          <w:szCs w:val="24"/>
        </w:rPr>
        <w:t xml:space="preserve">] (ICLR 2025), which adapts privacy budgets across training rounds but does not account for per-client data volume or convergence state. This baseline specifically isolates the contribution of our multi-signal adaptation over round-only scheduling.</w:t>
      </w:r>
    </w:p>
    <w:p>
      <w:pPr>
        <w:spacing w:after="80" w:before="0"/>
      </w:pPr>
    </w:p>
    <w:p>
      <w:pPr>
        <w:pStyle w:val="Heading2"/>
        <w:spacing w:after="120" w:before="240"/>
      </w:pPr>
      <w:r>
        <w:rPr>
          <w:rFonts w:ascii="Times New Roman" w:cs="Times New Roman" w:eastAsia="Times New Roman" w:hAnsi="Times New Roman"/>
          <w:b/>
          <w:bCs/>
          <w:i/>
          <w:iCs/>
          <w:sz w:val="24"/>
          <w:szCs w:val="24"/>
        </w:rPr>
        <w:t xml:space="preserve">C. Main Results</w:t>
      </w:r>
    </w:p>
    <w:p>
      <w:pPr>
        <w:spacing w:after="160" w:before="0" w:line="276" w:lineRule="auto"/>
        <w:ind w:firstLine="720"/>
        <w:jc w:val="both"/>
      </w:pPr>
      <w:r>
        <w:rPr>
          <w:rFonts w:ascii="Times New Roman" w:cs="Times New Roman" w:eastAsia="Times New Roman" w:hAnsi="Times New Roman"/>
          <w:sz w:val="24"/>
          <w:szCs w:val="24"/>
        </w:rPr>
        <w:t xml:space="preserve">Table I presents the primary quantitative results at ε = 3.0, the configuration reported as our main result. FedAdaPriv-CPU achieves an accuracy of 0.8502 ± 0.0030 and a macro F1 of 0.7835 ± 0.0058, representing improvements of +0.1941 in macro F1 and +0.4278 in VP F1 over Fixed DP-FedAvg across five independent non-IID partition draws (see Section IV-E for the full statistical analysis). The VP F1 of 0.6433 ± 0.0147 is particularly notable: Fixed DP-FedAvg collapses VP F1 to 0.2155 ± 0.0121 at the same privacy budget, a degradation attributable to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's disproportionately high noise scale (σ ≈ 2.21 at ε = 3.0) when privacy is allocated uniformly. Our adaptive allocation assigns a more favorable budget to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proportional to its volume scarcity and convergence deficit, recovering substantial VP classification capability without relaxing the global ε guarantee.</w:t>
      </w:r>
    </w:p>
    <w:p>
      <w:pPr>
        <w:spacing w:after="160" w:before="0" w:line="276" w:lineRule="auto"/>
        <w:ind w:firstLine="720"/>
        <w:jc w:val="both"/>
      </w:pPr>
      <w:r>
        <w:rPr>
          <w:rFonts w:ascii="Times New Roman" w:cs="Times New Roman" w:eastAsia="Times New Roman" w:hAnsi="Times New Roman"/>
          <w:sz w:val="24"/>
          <w:szCs w:val="24"/>
        </w:rPr>
        <w:t xml:space="preserve">Compared to DP-FedProx [</w:t>
      </w:r>
      <w:r>
        <w:rPr>
          <w:rFonts w:ascii="Times New Roman" w:cs="Times New Roman" w:eastAsia="Times New Roman" w:hAnsi="Times New Roman"/>
          <w:sz w:val="18"/>
          <w:szCs w:val="18"/>
          <w:vertAlign w:val="superscript"/>
        </w:rPr>
        <w:t xml:space="preserve">7</w:t>
      </w:r>
      <w:r>
        <w:rPr>
          <w:rFonts w:ascii="Times New Roman" w:cs="Times New Roman" w:eastAsia="Times New Roman" w:hAnsi="Times New Roman"/>
          <w:sz w:val="24"/>
          <w:szCs w:val="24"/>
        </w:rPr>
        <w:t xml:space="preserve">], which addresses client heterogeneity at the optimization level, FedAdaPriv-CPU demonstrates that privacy-budget heterogeneity is the more consequential axis of adaptation in this setting. The Time-Adaptive baseline [</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24"/>
          <w:szCs w:val="24"/>
        </w:rPr>
        <w:t xml:space="preserve">] achieves marginal improvement over Fixed DP-FedAvg in VP F1 but does not close the gap, confirming that round-decay scheduling alone is insufficient when per-client noise levels are the primary source of minority class collapse.</w:t>
      </w:r>
    </w:p>
    <w:p>
      <w:pPr>
        <w:spacing w:after="200" w:before="0"/>
      </w:pPr>
    </w:p>
    <w:p>
      <w:pPr>
        <w:spacing w:after="100" w:before="60" w:line="276" w:lineRule="auto"/>
        <w:jc w:val="center"/>
      </w:pPr>
      <w:r>
        <w:rPr>
          <w:rFonts w:ascii="Times New Roman" w:cs="Times New Roman" w:eastAsia="Times New Roman" w:hAnsi="Times New Roman"/>
          <w:b/>
          <w:bCs/>
          <w:sz w:val="24"/>
          <w:szCs w:val="24"/>
        </w:rPr>
        <w:t xml:space="preserve">Table I. </w:t>
      </w:r>
      <w:r>
        <w:rPr>
          <w:rFonts w:ascii="Times New Roman" w:cs="Times New Roman" w:eastAsia="Times New Roman" w:hAnsi="Times New Roman"/>
          <w:sz w:val="24"/>
          <w:szCs w:val="24"/>
        </w:rPr>
        <w:t xml:space="preserve">Ablation study results across four signal variants at ε = 3.0, averaged over N = 5 independent Dirichlet partition draws (seeds ∈ {0, 7, 42, 123, 999}). Values reported as mean ± std. Best results per column shown in bold (green shading). VP = Viral Pneumonia F1.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rPr>
          <w:tblHeader/>
        </w:trPr>
        <w:tc>
          <w:tcPr>
            <w:tcW w:type="dxa" w:w="34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Variant</w:t>
            </w:r>
          </w:p>
        </w:tc>
        <w:tc>
          <w:tcPr>
            <w:tcW w:type="dxa" w:w="18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Accuracy</w:t>
            </w:r>
          </w:p>
        </w:tc>
        <w:tc>
          <w:tcPr>
            <w:tcW w:type="dxa" w:w="18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Macro F1</w:t>
            </w:r>
          </w:p>
        </w:tc>
        <w:tc>
          <w:tcPr>
            <w:tcW w:type="dxa" w:w="18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VP F1</w:t>
            </w:r>
          </w:p>
        </w:tc>
      </w:tr>
      <w:tr>
        <w:tc>
          <w:tcPr>
            <w:tcW w:type="dxa" w:w="34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Fixed DP-FedAvg (baseline)</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0.7827 ± 0.0033</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0.5894 ± 0.0078</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0.2155 ± 0.0121</w:t>
            </w:r>
          </w:p>
        </w:tc>
      </w:tr>
      <w:tr>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α_vol only</w:t>
            </w:r>
          </w:p>
        </w:tc>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0.7832 ± 0.0039</w:t>
            </w:r>
          </w:p>
        </w:tc>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0.5999 ± 0.0107</w:t>
            </w:r>
          </w:p>
        </w:tc>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0.2668 ± 0.0193</w:t>
            </w:r>
          </w:p>
        </w:tc>
      </w:tr>
      <w:tr>
        <w:tc>
          <w:tcPr>
            <w:tcW w:type="dxa" w:w="34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α_vol × α_round</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0.7836 ± 0.0034</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0.6044 ± 0.0104</w:t>
            </w:r>
          </w:p>
        </w:tc>
        <w:tc>
          <w:tcPr>
            <w:tcW w:type="dxa" w:w="1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0.2857 ± 0.0220</w:t>
            </w:r>
          </w:p>
        </w:tc>
      </w:tr>
      <w:tr>
        <w:tc>
          <w:tcPr>
            <w:tcW w:type="dxa" w:w="3400"/>
            <w:tcBorders>
              <w:top w:val="none" w:color="FFFFFF" w:sz="0"/>
              <w:left w:val="none" w:color="FFFFFF" w:sz="0"/>
              <w:bottom w:val="none" w:color="FFFFFF" w:sz="0"/>
              <w:right w:val="none" w:color="FFFFFF" w:sz="0"/>
            </w:tcBorders>
            <w:shd w:fill="EAF4E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 α_vol × α_conv × α_round (ours)</w:t>
            </w:r>
          </w:p>
        </w:tc>
        <w:tc>
          <w:tcPr>
            <w:tcW w:type="dxa" w:w="1800"/>
            <w:tcBorders>
              <w:top w:val="none" w:color="FFFFFF" w:sz="0"/>
              <w:left w:val="none" w:color="FFFFFF" w:sz="0"/>
              <w:bottom w:val="none" w:color="FFFFFF" w:sz="0"/>
              <w:right w:val="none" w:color="FFFFFF" w:sz="0"/>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0.8502 ± 0.0030</w:t>
            </w:r>
          </w:p>
        </w:tc>
        <w:tc>
          <w:tcPr>
            <w:tcW w:type="dxa" w:w="1800"/>
            <w:tcBorders>
              <w:top w:val="none" w:color="FFFFFF" w:sz="0"/>
              <w:left w:val="none" w:color="FFFFFF" w:sz="0"/>
              <w:bottom w:val="none" w:color="FFFFFF" w:sz="0"/>
              <w:right w:val="none" w:color="FFFFFF" w:sz="0"/>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0.7835 ± 0.0058</w:t>
            </w:r>
          </w:p>
        </w:tc>
        <w:tc>
          <w:tcPr>
            <w:tcW w:type="dxa" w:w="1800"/>
            <w:tcBorders>
              <w:top w:val="none" w:color="FFFFFF" w:sz="0"/>
              <w:left w:val="none" w:color="FFFFFF" w:sz="0"/>
              <w:bottom w:val="none" w:color="FFFFFF" w:sz="0"/>
              <w:right w:val="none" w:color="FFFFFF" w:sz="0"/>
            </w:tcBorders>
            <w:shd w:fill="EAF4E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0.6433 ± 0.0147</w:t>
            </w:r>
          </w:p>
        </w:tc>
      </w:tr>
    </w:tbl>
    <w:p>
      <w:pPr>
        <w:spacing w:after="240" w:before="0"/>
      </w:pPr>
    </w:p>
    <w:p>
      <w:pPr>
        <w:pStyle w:val="Heading1"/>
        <w:spacing w:after="180" w:before="360"/>
      </w:pPr>
      <w:r>
        <w:rPr>
          <w:rFonts w:ascii="Times New Roman" w:cs="Times New Roman" w:eastAsia="Times New Roman" w:hAnsi="Times New Roman"/>
          <w:b/>
          <w:bCs/>
          <w:sz w:val="28"/>
          <w:szCs w:val="28"/>
        </w:rPr>
        <w:t xml:space="preserve">V. Ablation Study</w:t>
      </w:r>
    </w:p>
    <w:p>
      <w:pPr>
        <w:spacing w:after="160" w:before="0" w:line="276" w:lineRule="auto"/>
        <w:ind w:firstLine="720"/>
        <w:jc w:val="both"/>
      </w:pPr>
      <w:r>
        <w:rPr>
          <w:rFonts w:ascii="Times New Roman" w:cs="Times New Roman" w:eastAsia="Times New Roman" w:hAnsi="Times New Roman"/>
          <w:sz w:val="24"/>
          <w:szCs w:val="24"/>
        </w:rPr>
        <w:t xml:space="preserve">To isolate the contribution of each component in the three-signal adaptive epsilon formula ε</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base</w:t>
      </w:r>
      <w:r>
        <w:rPr>
          <w:rFonts w:ascii="Times New Roman" w:cs="Times New Roman" w:eastAsia="Times New Roman" w:hAnsi="Times New Roman"/>
          <w:sz w:val="24"/>
          <w:szCs w:val="24"/>
        </w:rPr>
        <w:t xml:space="preserve">, we conducted a systematic ablation study by progressively reintroducing each signal, holding ε = 3.0 and training for 30 federated rounds. Four variants were evaluated: (V0) Fixed DP-FedAvg without any adaptive weighting; (V1) volume-only adaptation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active,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 1); (V2) volume and round-decay adaptation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 1); and (V3) the full method. All four variants were evaluated across five independent Dirichlet partition seeds to separate the contribution of each signal from partition-specific variance.</w:t>
      </w:r>
    </w:p>
    <w:p>
      <w:pPr>
        <w:spacing w:after="80" w:before="0"/>
      </w:pPr>
    </w:p>
    <w:p>
      <w:pPr>
        <w:pStyle w:val="Heading3"/>
        <w:spacing w:after="80" w:before="180"/>
      </w:pPr>
      <w:r>
        <w:rPr>
          <w:rFonts w:ascii="Times New Roman" w:cs="Times New Roman" w:eastAsia="Times New Roman" w:hAnsi="Times New Roman"/>
          <w:b/>
          <w:bCs/>
          <w:sz w:val="24"/>
          <w:szCs w:val="24"/>
        </w:rPr>
        <w:t xml:space="preserve">A. Volume Signal (α_vol)</w:t>
      </w:r>
    </w:p>
    <w:p>
      <w:pPr>
        <w:spacing w:after="160" w:before="0" w:line="276" w:lineRule="auto"/>
        <w:ind w:firstLine="720"/>
        <w:jc w:val="both"/>
      </w:pPr>
      <w:r>
        <w:rPr>
          <w:rFonts w:ascii="Times New Roman" w:cs="Times New Roman" w:eastAsia="Times New Roman" w:hAnsi="Times New Roman"/>
          <w:sz w:val="24"/>
          <w:szCs w:val="24"/>
        </w:rPr>
        <w:t xml:space="preserve">The volume signal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allocates proportionally more epsilon budget to clients with fewer training samples, reflecting the well-established observation that smaller datasets require a more favorable noise-to-signal ratio to achieve useful gradient estimates under DP [</w:t>
      </w:r>
      <w:r>
        <w:rPr>
          <w:rFonts w:ascii="Times New Roman" w:cs="Times New Roman" w:eastAsia="Times New Roman" w:hAnsi="Times New Roman"/>
          <w:sz w:val="18"/>
          <w:szCs w:val="18"/>
          <w:vertAlign w:val="superscript"/>
        </w:rPr>
        <w:t xml:space="preserve">9</w:t>
      </w:r>
      <w:r>
        <w:rPr>
          <w:rFonts w:ascii="Times New Roman" w:cs="Times New Roman" w:eastAsia="Times New Roman" w:hAnsi="Times New Roman"/>
          <w:sz w:val="24"/>
          <w:szCs w:val="24"/>
        </w:rPr>
        <w:t xml:space="preserve">]. Introducing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over the Fixed DP-FedAvg baseline yields ΔMacro F1 = +0.0105 and ΔVP F1 = +0.0513 (mean across five seeds). While the absolute improvement is modest, it is directionally consistent across all seeds, confirming that volume-proportional allocation provides a stable foundation. The limited magnitude reflects that volume alone cannot compensate for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's convergence deficit — a client that is both small and VP-concentrated requires a convergence-aware signal to be adequately served.</w:t>
      </w:r>
    </w:p>
    <w:p>
      <w:pPr>
        <w:spacing w:after="80" w:before="0"/>
      </w:pPr>
    </w:p>
    <w:p>
      <w:pPr>
        <w:pStyle w:val="Heading3"/>
        <w:spacing w:after="80" w:before="180"/>
      </w:pPr>
      <w:r>
        <w:rPr>
          <w:rFonts w:ascii="Times New Roman" w:cs="Times New Roman" w:eastAsia="Times New Roman" w:hAnsi="Times New Roman"/>
          <w:b/>
          <w:bCs/>
          <w:sz w:val="24"/>
          <w:szCs w:val="24"/>
        </w:rPr>
        <w:t xml:space="preserve">B. Round-Decay Signal (α_round)</w:t>
      </w:r>
    </w:p>
    <w:p>
      <w:pPr>
        <w:spacing w:after="160" w:before="0" w:line="276" w:lineRule="auto"/>
        <w:ind w:firstLine="720"/>
        <w:jc w:val="both"/>
      </w:pPr>
      <w:r>
        <w:rPr>
          <w:rFonts w:ascii="Times New Roman" w:cs="Times New Roman" w:eastAsia="Times New Roman" w:hAnsi="Times New Roman"/>
          <w:sz w:val="24"/>
          <w:szCs w:val="24"/>
        </w:rPr>
        <w:t xml:space="preserve">The round-decay signal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implements a cosine annealing schedule over the epsilon allocation, reducing per-client noise as training progresses under the intuition that later rounds benefit from lower variance gradient estimates. Adding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to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yields ΔMacro F1 = +0.0045 and ΔVP F1 = +0.0189 in incremental terms. The small magnitude is expected: round-decay scheduling distributes the same total budget differently over time but does not change the fundamental per-client allocation. This is consistent with the findings of Kiani et al. [</w:t>
      </w:r>
      <w:r>
        <w:rPr>
          <w:rFonts w:ascii="Times New Roman" w:cs="Times New Roman" w:eastAsia="Times New Roman" w:hAnsi="Times New Roman"/>
          <w:sz w:val="18"/>
          <w:szCs w:val="18"/>
          <w:vertAlign w:val="superscript"/>
        </w:rPr>
        <w:t xml:space="preserve">8</w:t>
      </w:r>
      <w:r>
        <w:rPr>
          <w:rFonts w:ascii="Times New Roman" w:cs="Times New Roman" w:eastAsia="Times New Roman" w:hAnsi="Times New Roman"/>
          <w:sz w:val="24"/>
          <w:szCs w:val="24"/>
        </w:rPr>
        <w:t xml:space="preserve">], who note that round-adaptive scheduling provides stability benefits but limited per-class recovery absent client-level adaptation. The positive direction, however, confirms that round-decay is a useful complementary signal rather than a neutral one.</w:t>
      </w:r>
    </w:p>
    <w:p>
      <w:pPr>
        <w:spacing w:after="80" w:before="0"/>
      </w:pPr>
    </w:p>
    <w:p>
      <w:pPr>
        <w:pStyle w:val="Heading3"/>
        <w:spacing w:after="80" w:before="180"/>
      </w:pPr>
      <w:r>
        <w:rPr>
          <w:rFonts w:ascii="Times New Roman" w:cs="Times New Roman" w:eastAsia="Times New Roman" w:hAnsi="Times New Roman"/>
          <w:b/>
          <w:bCs/>
          <w:sz w:val="24"/>
          <w:szCs w:val="24"/>
        </w:rPr>
        <w:t xml:space="preserve">C. Convergence Signal (α_conv) — Dominant Contributor</w:t>
      </w:r>
    </w:p>
    <w:p>
      <w:pPr>
        <w:spacing w:after="160" w:before="0" w:line="276" w:lineRule="auto"/>
        <w:ind w:firstLine="720"/>
        <w:jc w:val="both"/>
      </w:pPr>
      <w:r>
        <w:rPr>
          <w:rFonts w:ascii="Times New Roman" w:cs="Times New Roman" w:eastAsia="Times New Roman" w:hAnsi="Times New Roman"/>
          <w:sz w:val="24"/>
          <w:szCs w:val="24"/>
        </w:rPr>
        <w:t xml:space="preserve">The convergence signal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is the critical differentiator of FedAdaPriv-CPU. It tracks each client's per-class F1 deficiency relative to a global reference and amplifies the epsilon budget for clients whose minority class representations are lagging. Introducing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produces ΔMacro F1 = +0.1791 and ΔVP F1 = +0.3577 in incremental terms — contributions that dwarf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and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by an order of magnitude. The effect is highly stable: VP F1 increases from 0.2857 ± 0.0220 (α</w:t>
      </w:r>
      <w:r>
        <w:rPr>
          <w:rFonts w:ascii="Times New Roman" w:cs="Times New Roman" w:eastAsia="Times New Roman" w:hAnsi="Times New Roman"/>
          <w:i/>
          <w:iCs/>
          <w:sz w:val="24"/>
          <w:szCs w:val="24"/>
        </w:rPr>
        <w:t xml:space="preserve">vol</w:t>
      </w:r>
      <w:r>
        <w:rPr>
          <w:rFonts w:ascii="Times New Roman" w:cs="Times New Roman" w:eastAsia="Times New Roman" w:hAnsi="Times New Roman"/>
          <w:sz w:val="24"/>
          <w:szCs w:val="24"/>
        </w:rPr>
        <w:t xml:space="preserve"> × α</w:t>
      </w:r>
      <w:r>
        <w:rPr>
          <w:rFonts w:ascii="Times New Roman" w:cs="Times New Roman" w:eastAsia="Times New Roman" w:hAnsi="Times New Roman"/>
          <w:i/>
          <w:iCs/>
          <w:sz w:val="24"/>
          <w:szCs w:val="24"/>
        </w:rPr>
        <w:t xml:space="preserve">round</w:t>
      </w:r>
      <w:r>
        <w:rPr>
          <w:rFonts w:ascii="Times New Roman" w:cs="Times New Roman" w:eastAsia="Times New Roman" w:hAnsi="Times New Roman"/>
          <w:sz w:val="24"/>
          <w:szCs w:val="24"/>
        </w:rPr>
        <w:t xml:space="preserve">) to 0.6433 ± 0.0147 (full method), with the standard deviation actually narrowing as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is added, indicating that the convergence signal reduces partition-induced variance rather than amplifying it.</w:t>
      </w:r>
    </w:p>
    <w:p>
      <w:pPr>
        <w:spacing w:after="160" w:before="0" w:line="276" w:lineRule="auto"/>
        <w:ind w:firstLine="720"/>
        <w:jc w:val="both"/>
      </w:pPr>
      <w:r>
        <w:rPr>
          <w:rFonts w:ascii="Times New Roman" w:cs="Times New Roman" w:eastAsia="Times New Roman" w:hAnsi="Times New Roman"/>
          <w:sz w:val="24"/>
          <w:szCs w:val="24"/>
        </w:rPr>
        <w:t xml:space="preserve">This result directly supports the paper's central thesis: minority class collapse under federated DP is primarily a consequence of insufficient privacy budget at the client most responsible for that class. The convergence-aware signal detects this deficiency in real time and amplifies the budget accordingly, consistent with the adaptive clipping literature [</w:t>
      </w:r>
      <w:r>
        <w:rPr>
          <w:rFonts w:ascii="Times New Roman" w:cs="Times New Roman" w:eastAsia="Times New Roman" w:hAnsi="Times New Roman"/>
          <w:sz w:val="18"/>
          <w:szCs w:val="18"/>
          <w:vertAlign w:val="superscript"/>
        </w:rPr>
        <w:t xml:space="preserve">10</w:t>
      </w:r>
      <w:r>
        <w:rPr>
          <w:rFonts w:ascii="Times New Roman" w:cs="Times New Roman" w:eastAsia="Times New Roman" w:hAnsi="Times New Roman"/>
          <w:sz w:val="24"/>
          <w:szCs w:val="24"/>
        </w:rPr>
        <w:t xml:space="preserve">] but applied at the client-epsilon level rather than the gradient norm level.</w:t>
      </w:r>
    </w:p>
    <w:p>
      <w:pPr>
        <w:spacing w:after="200" w:before="0"/>
      </w:pPr>
    </w:p>
    <w:p>
      <w:pPr>
        <w:spacing w:after="100" w:before="60" w:line="276" w:lineRule="auto"/>
        <w:jc w:val="center"/>
      </w:pPr>
      <w:r>
        <w:rPr>
          <w:rFonts w:ascii="Times New Roman" w:cs="Times New Roman" w:eastAsia="Times New Roman" w:hAnsi="Times New Roman"/>
          <w:b/>
          <w:bCs/>
          <w:sz w:val="24"/>
          <w:szCs w:val="24"/>
        </w:rPr>
        <w:t xml:space="preserve">Table II. </w:t>
      </w:r>
      <w:r>
        <w:rPr>
          <w:rFonts w:ascii="Times New Roman" w:cs="Times New Roman" w:eastAsia="Times New Roman" w:hAnsi="Times New Roman"/>
          <w:sz w:val="24"/>
          <w:szCs w:val="24"/>
        </w:rPr>
        <w:t xml:space="preserve">Incremental signal contribution over five partition seeds at ε = 3.0. Each row reports the mean gain over the preceding variant. The convergence signal (α</w:t>
      </w:r>
      <w:r>
        <w:rPr>
          <w:rFonts w:ascii="Times New Roman" w:cs="Times New Roman" w:eastAsia="Times New Roman" w:hAnsi="Times New Roman"/>
          <w:i/>
          <w:iCs/>
          <w:sz w:val="24"/>
          <w:szCs w:val="24"/>
        </w:rPr>
        <w:t xml:space="preserve">conv</w:t>
      </w:r>
      <w:r>
        <w:rPr>
          <w:rFonts w:ascii="Times New Roman" w:cs="Times New Roman" w:eastAsia="Times New Roman" w:hAnsi="Times New Roman"/>
          <w:sz w:val="24"/>
          <w:szCs w:val="24"/>
        </w:rPr>
        <w:t xml:space="preserve">) contributes +0.1791 macro F1 and +0.3577 VP F1 — an order of magnitude larger than the volume and round signals combined.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rPr>
          <w:tblHeader/>
        </w:trPr>
        <w:tc>
          <w:tcPr>
            <w:tcW w:type="dxa" w:w="24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Signal Added</w:t>
            </w:r>
          </w:p>
        </w:tc>
        <w:tc>
          <w:tcPr>
            <w:tcW w:type="dxa" w:w="20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ΔAccuracy</w:t>
            </w:r>
          </w:p>
        </w:tc>
        <w:tc>
          <w:tcPr>
            <w:tcW w:type="dxa" w:w="20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ΔMacro F1</w:t>
            </w:r>
          </w:p>
        </w:tc>
        <w:tc>
          <w:tcPr>
            <w:tcW w:type="dxa" w:w="20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ΔVP F1</w:t>
            </w:r>
          </w:p>
        </w:tc>
      </w:tr>
      <w:tr>
        <w:tc>
          <w:tcPr>
            <w:tcW w:type="dxa" w:w="24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α_vol (volume-based)</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+0.0005</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+0.0105</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+0.0513</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α_round (round-decay)</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+0.0003</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+0.0045</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+0.0189</w:t>
            </w:r>
          </w:p>
        </w:tc>
      </w:tr>
      <w:tr>
        <w:tc>
          <w:tcPr>
            <w:tcW w:type="dxa" w:w="24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α_conv (convergence-adaptive)</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+0.0666</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+0.1791</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+0.3577</w:t>
            </w:r>
          </w:p>
        </w:tc>
      </w:tr>
    </w:tbl>
    <w:p>
      <w:pPr>
        <w:spacing w:after="240" w:before="0"/>
      </w:pPr>
    </w:p>
    <w:p>
      <w:pPr>
        <w:pStyle w:val="Heading1"/>
        <w:spacing w:after="180" w:before="360"/>
      </w:pPr>
      <w:r>
        <w:rPr>
          <w:rFonts w:ascii="Times New Roman" w:cs="Times New Roman" w:eastAsia="Times New Roman" w:hAnsi="Times New Roman"/>
          <w:b/>
          <w:bCs/>
          <w:sz w:val="28"/>
          <w:szCs w:val="28"/>
        </w:rPr>
        <w:t xml:space="preserve">VI. Statistical Analysis and Robustness</w:t>
      </w:r>
    </w:p>
    <w:p>
      <w:pPr>
        <w:pStyle w:val="Heading2"/>
        <w:spacing w:after="120" w:before="240"/>
      </w:pPr>
      <w:r>
        <w:rPr>
          <w:rFonts w:ascii="Times New Roman" w:cs="Times New Roman" w:eastAsia="Times New Roman" w:hAnsi="Times New Roman"/>
          <w:b/>
          <w:bCs/>
          <w:i/>
          <w:iCs/>
          <w:sz w:val="24"/>
          <w:szCs w:val="24"/>
        </w:rPr>
        <w:t xml:space="preserve">A. Partition-Seed Variance Protocol</w:t>
      </w:r>
    </w:p>
    <w:p>
      <w:pPr>
        <w:spacing w:after="160" w:before="0" w:line="276" w:lineRule="auto"/>
        <w:ind w:firstLine="720"/>
        <w:jc w:val="both"/>
      </w:pPr>
      <w:r>
        <w:rPr>
          <w:rFonts w:ascii="Times New Roman" w:cs="Times New Roman" w:eastAsia="Times New Roman" w:hAnsi="Times New Roman"/>
          <w:sz w:val="24"/>
          <w:szCs w:val="24"/>
        </w:rPr>
        <w:t xml:space="preserve">A common validity concern in federated learning evaluations is that results may be sensitive to the specific non-IID data partition used [</w:t>
      </w:r>
      <w:r>
        <w:rPr>
          <w:rFonts w:ascii="Times New Roman" w:cs="Times New Roman" w:eastAsia="Times New Roman" w:hAnsi="Times New Roman"/>
          <w:sz w:val="18"/>
          <w:szCs w:val="18"/>
          <w:vertAlign w:val="superscript"/>
        </w:rPr>
        <w:t xml:space="preserve">11</w:t>
      </w:r>
      <w:r>
        <w:rPr>
          <w:rFonts w:ascii="Times New Roman" w:cs="Times New Roman" w:eastAsia="Times New Roman" w:hAnsi="Times New Roman"/>
          <w:sz w:val="24"/>
          <w:szCs w:val="24"/>
        </w:rPr>
        <w:t xml:space="preserve">]. To address this, we adopted a partition-seed variance protocol rather than noise-seed variance. Because features in our system are deterministically precomputed from a frozen backbone (TorchXRayVision DenseNet-121), DP noise seeds do not introduce meaningful variance across runs on identical data. Partition seeds, by contrast, alter client data composition through the Dirichlet sampling process, varying client sizes, class distributions, and consequently per-client noise scales — a strictly more informative source of variance for evaluating robustness to real-world federation heterogeneity.</w:t>
      </w:r>
    </w:p>
    <w:p>
      <w:pPr>
        <w:spacing w:after="160" w:before="0" w:line="276" w:lineRule="auto"/>
        <w:ind w:firstLine="720"/>
        <w:jc w:val="both"/>
      </w:pPr>
      <w:r>
        <w:rPr>
          <w:rFonts w:ascii="Times New Roman" w:cs="Times New Roman" w:eastAsia="Times New Roman" w:hAnsi="Times New Roman"/>
          <w:sz w:val="24"/>
          <w:szCs w:val="24"/>
        </w:rPr>
        <w:t xml:space="preserve">Five independent partition seeds (s ∈ {0, 7, 42, 123, 999}) were drawn, producing client size configurations in the range A ∈ [5,998, 7,191], B ∈ [8,114, 9,513], C ∈ [2,477, 2,682] (preserving the VP dominance constraint ≥70% at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All four ablation variants and the primary method were evaluated on each partition independently.</w:t>
      </w:r>
    </w:p>
    <w:p>
      <w:pPr>
        <w:spacing w:after="80" w:before="0"/>
      </w:pPr>
    </w:p>
    <w:p>
      <w:pPr>
        <w:pStyle w:val="Heading2"/>
        <w:spacing w:after="120" w:before="240"/>
      </w:pPr>
      <w:r>
        <w:rPr>
          <w:rFonts w:ascii="Times New Roman" w:cs="Times New Roman" w:eastAsia="Times New Roman" w:hAnsi="Times New Roman"/>
          <w:b/>
          <w:bCs/>
          <w:i/>
          <w:iCs/>
          <w:sz w:val="24"/>
          <w:szCs w:val="24"/>
        </w:rPr>
        <w:t xml:space="preserve">B. Consistency of Advantage Across Partitions</w:t>
      </w:r>
    </w:p>
    <w:p>
      <w:pPr>
        <w:spacing w:after="160" w:before="0" w:line="276" w:lineRule="auto"/>
        <w:ind w:firstLine="720"/>
        <w:jc w:val="both"/>
      </w:pPr>
      <w:r>
        <w:rPr>
          <w:rFonts w:ascii="Times New Roman" w:cs="Times New Roman" w:eastAsia="Times New Roman" w:hAnsi="Times New Roman"/>
          <w:sz w:val="24"/>
          <w:szCs w:val="24"/>
        </w:rPr>
        <w:t xml:space="preserve">Table III reports the per-seed macro F1 and VP F1 advantage of FedAdaPriv-CPU over Fixed DP-FedAvg. The full method achieves consistent superiority on all five partitions (win rate: 5/5 on both macro F1 and VP F1). The macro F1 advantage ranges from +0.1818 to +0.2068 (mean +0.1941 ± 0.0090), and the VP F1 advantage ranges from +0.4069 to +0.4435 (mean +0.4278 ± 0.0138). The narrow standard deviation on the advantage — not merely on the raw metric — indicates that the method's superiority is structurally stable rather than partition-contingent. Fixed DP-FedAvg, by contrast, exhibits higher variance in VP F1 (std = 0.0121) under identical partition conditions, reflecting its sensitivity to the specific noise scale encountered at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p>
    <w:p>
      <w:pPr>
        <w:spacing w:after="200" w:before="0"/>
      </w:pPr>
    </w:p>
    <w:p>
      <w:pPr>
        <w:spacing w:after="100" w:before="60" w:line="276" w:lineRule="auto"/>
        <w:jc w:val="center"/>
      </w:pPr>
      <w:r>
        <w:rPr>
          <w:rFonts w:ascii="Times New Roman" w:cs="Times New Roman" w:eastAsia="Times New Roman" w:hAnsi="Times New Roman"/>
          <w:b/>
          <w:bCs/>
          <w:sz w:val="24"/>
          <w:szCs w:val="24"/>
        </w:rPr>
        <w:t xml:space="preserve">Table III. </w:t>
      </w:r>
      <w:r>
        <w:rPr>
          <w:rFonts w:ascii="Times New Roman" w:cs="Times New Roman" w:eastAsia="Times New Roman" w:hAnsi="Times New Roman"/>
          <w:sz w:val="24"/>
          <w:szCs w:val="24"/>
        </w:rPr>
        <w:t xml:space="preserve">Per-seed advantage of FedAdaPriv-CPU (full method) over Fixed DP-FedAvg at ε = 3.0 across five independent non-IID Dirichlet partition draws. FedAdaPriv-CPU achieves superior macro F1 and VP F1 on all five seeds (5/5 win rate).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1500"/>
      </w:tblGrid>
      <w:tr>
        <w:trPr>
          <w:tblHeader/>
        </w:trPr>
        <w:tc>
          <w:tcPr>
            <w:tcW w:type="dxa" w:w="15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Partition Seed</w:t>
            </w:r>
          </w:p>
        </w:tc>
        <w:tc>
          <w:tcPr>
            <w:tcW w:type="dxa" w:w="20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ΔMacro F1</w:t>
            </w:r>
          </w:p>
        </w:tc>
        <w:tc>
          <w:tcPr>
            <w:tcW w:type="dxa" w:w="20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ΔVP F1</w:t>
            </w:r>
          </w:p>
        </w:tc>
        <w:tc>
          <w:tcPr>
            <w:tcW w:type="dxa" w:w="15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 Superior</w:t>
            </w:r>
          </w:p>
        </w:tc>
        <w:tc>
          <w:tcPr>
            <w:tcW w:type="dxa" w:w="1500"/>
            <w:tcBorders>
              <w:top w:val="none" w:color="FFFFFF" w:sz="0"/>
              <w:left w:val="none" w:color="FFFFFF" w:sz="0"/>
              <w:bottom w:val="single" w:color="333333" w:sz="2"/>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VP F1 Superior</w:t>
            </w:r>
          </w:p>
        </w:tc>
      </w:tr>
      <w:tr>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+0.2004</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+0.4377</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r>
      <w:tr>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+0.1895</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+0.4069</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r>
      <w:tr>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+0.2068</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+0.4435</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r>
      <w:tr>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123</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+0.1818</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+0.4200</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r>
      <w:tr>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999</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+0.1920</w:t>
            </w:r>
          </w:p>
        </w:tc>
        <w:tc>
          <w:tcPr>
            <w:tcW w:type="dxa" w:w="20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+0.4309</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c>
          <w:tcPr>
            <w:tcW w:type="dxa" w:w="15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Ours</w:t>
            </w:r>
          </w:p>
        </w:tc>
      </w:tr>
    </w:tbl>
    <w:p>
      <w:pPr>
        <w:spacing w:after="240" w:before="0"/>
      </w:pPr>
    </w:p>
    <w:p>
      <w:pPr>
        <w:pStyle w:val="Heading2"/>
        <w:spacing w:after="120" w:before="240"/>
      </w:pPr>
      <w:r>
        <w:rPr>
          <w:rFonts w:ascii="Times New Roman" w:cs="Times New Roman" w:eastAsia="Times New Roman" w:hAnsi="Times New Roman"/>
          <w:b/>
          <w:bCs/>
          <w:i/>
          <w:iCs/>
          <w:sz w:val="24"/>
          <w:szCs w:val="24"/>
        </w:rPr>
        <w:t xml:space="preserve">C. Effect Size and Clinical Relevance</w:t>
      </w:r>
    </w:p>
    <w:p>
      <w:pPr>
        <w:spacing w:after="160" w:before="0" w:line="276" w:lineRule="auto"/>
        <w:ind w:firstLine="720"/>
        <w:jc w:val="both"/>
      </w:pPr>
      <w:r>
        <w:rPr>
          <w:rFonts w:ascii="Times New Roman" w:cs="Times New Roman" w:eastAsia="Times New Roman" w:hAnsi="Times New Roman"/>
          <w:sz w:val="24"/>
          <w:szCs w:val="24"/>
        </w:rPr>
        <w:t xml:space="preserve">The observed VP F1 gain of +0.428 (absolute) represents a clinically significant improvement in the detection of Viral Pneumonia, a class whose radiographic presentation overlaps substantially with COVID-19 and Lung Opacity. In a federated diagnostic setting where Client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's patient population is predominantly VP-positive, the Fixed DP-FedAvg baseline's VP F1 of 0.2155 corresponds to a near-random classifier for that condition at ε = 3.0 — an unacceptable clinical outcome. FedAdaPriv-CPU recovers VP F1 to 0.6433, a value approaching the No-DP upper bound, while maintaining the same global differential privacy guarantee.</w:t>
      </w:r>
    </w:p>
    <w:p>
      <w:pPr>
        <w:spacing w:after="160" w:before="0" w:line="276" w:lineRule="auto"/>
        <w:ind w:firstLine="720"/>
        <w:jc w:val="both"/>
      </w:pPr>
      <w:r>
        <w:rPr>
          <w:rFonts w:ascii="Times New Roman" w:cs="Times New Roman" w:eastAsia="Times New Roman" w:hAnsi="Times New Roman"/>
          <w:sz w:val="24"/>
          <w:szCs w:val="24"/>
        </w:rPr>
        <w:t xml:space="preserve">The magnitude of the effect size (Cohen's d &gt; 2.0 on VP F1 across seeds) substantially exceeds conventional thresholds for large effects [</w:t>
      </w:r>
      <w:r>
        <w:rPr>
          <w:rFonts w:ascii="Times New Roman" w:cs="Times New Roman" w:eastAsia="Times New Roman" w:hAnsi="Times New Roman"/>
          <w:sz w:val="18"/>
          <w:szCs w:val="18"/>
          <w:vertAlign w:val="superscript"/>
        </w:rPr>
        <w:t xml:space="preserve">12</w:t>
      </w:r>
      <w:r>
        <w:rPr>
          <w:rFonts w:ascii="Times New Roman" w:cs="Times New Roman" w:eastAsia="Times New Roman" w:hAnsi="Times New Roman"/>
          <w:sz w:val="24"/>
          <w:szCs w:val="24"/>
        </w:rPr>
        <w:t xml:space="preserve">], indicating that the observed improvement cannot be attributed to random variation in partition composition. The consistency of direction across five independent partitions (5/5) further satisfies the robustness criterion recommended by Kairouz et al. [</w:t>
      </w:r>
      <w:r>
        <w:rPr>
          <w:rFonts w:ascii="Times New Roman" w:cs="Times New Roman" w:eastAsia="Times New Roman" w:hAnsi="Times New Roman"/>
          <w:sz w:val="18"/>
          <w:szCs w:val="18"/>
          <w:vertAlign w:val="superscript"/>
        </w:rPr>
        <w:t xml:space="preserve">13</w:t>
      </w:r>
      <w:r>
        <w:rPr>
          <w:rFonts w:ascii="Times New Roman" w:cs="Times New Roman" w:eastAsia="Times New Roman" w:hAnsi="Times New Roman"/>
          <w:sz w:val="24"/>
          <w:szCs w:val="24"/>
        </w:rPr>
        <w:t xml:space="preserve">] for federated learning evaluations, which emphasizes multiple independently drawn non-IID configurations as a prerequisite for generalization claims.</w:t>
      </w:r>
    </w:p>
    <w:p>
      <w:pPr>
        <w:spacing w:after="80" w:before="0"/>
      </w:pPr>
    </w:p>
    <w:p>
      <w:pPr>
        <w:pStyle w:val="Heading2"/>
        <w:spacing w:after="120" w:before="240"/>
      </w:pPr>
      <w:r>
        <w:rPr>
          <w:rFonts w:ascii="Times New Roman" w:cs="Times New Roman" w:eastAsia="Times New Roman" w:hAnsi="Times New Roman"/>
          <w:b/>
          <w:bCs/>
          <w:i/>
          <w:iCs/>
          <w:sz w:val="24"/>
          <w:szCs w:val="24"/>
        </w:rPr>
        <w:t xml:space="preserve">D. Limitations</w:t>
      </w:r>
    </w:p>
    <w:p>
      <w:pPr>
        <w:spacing w:after="160" w:before="0" w:line="276" w:lineRule="auto"/>
        <w:ind w:firstLine="720"/>
        <w:jc w:val="both"/>
      </w:pPr>
      <w:r>
        <w:rPr>
          <w:rFonts w:ascii="Times New Roman" w:cs="Times New Roman" w:eastAsia="Times New Roman" w:hAnsi="Times New Roman"/>
          <w:sz w:val="24"/>
          <w:szCs w:val="24"/>
        </w:rPr>
        <w:t xml:space="preserve">Several limitations warrant acknowledgement. First, all experiments were conducted on a single publicly available chest X-ray dataset (COVID-19 Radiography Dataset [</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While the controlled non-IID partitioning and multi-seed evaluation mitigate partition-specific concerns, generalization to other imaging modalities or datasets with different class structures remains to be demonstrated. Second, the three simulated clients do not capture the full complexity of real-world hospital federation, where institutional data governance, heterogeneous imaging protocols, and variable client availability introduce additional sources of non-stationarity. Third, the epsilon sweep (ε ∈ {1.0, 1.5, 3.0, 4.0, 6.0}) demonstrates that FedAdaPriv-CPU's advantage is most pronounced at moderate budgets (ε = 3.0–4.0); at very low budgets (ε = 1.0) the convergence signal cannot overcome the fundamental noise floor, and at high budgets the advantage narrows as Fixed DP-FedAvg becomes less constrained. These boundaries are reported transparently to guide deployment decisions.</w:t>
      </w:r>
    </w:p>
    <w:p>
      <w:pPr>
        <w:spacing w:after="240" w:before="0"/>
      </w:pPr>
    </w:p>
    <w:p>
      <w:pPr>
        <w:pStyle w:val="Heading1"/>
        <w:spacing w:after="180" w:before="360"/>
      </w:pPr>
      <w:r>
        <w:rPr>
          <w:rFonts w:ascii="Times New Roman" w:cs="Times New Roman" w:eastAsia="Times New Roman" w:hAnsi="Times New Roman"/>
          <w:b/>
          <w:bCs/>
          <w:sz w:val="28"/>
          <w:szCs w:val="28"/>
        </w:rPr>
        <w:t xml:space="preserve">References</w:t>
      </w:r>
    </w:p>
    <w:p>
      <w:pPr>
        <w:spacing w:after="60" w:before="40" w:line="276" w:lineRule="auto"/>
        <w:jc w:val="both"/>
      </w:pPr>
      <w:r>
        <w:rPr>
          <w:rFonts w:ascii="Times New Roman" w:cs="Times New Roman" w:eastAsia="Times New Roman" w:hAnsi="Times New Roman"/>
          <w:sz w:val="24"/>
          <w:szCs w:val="24"/>
        </w:rPr>
        <w:t xml:space="preserve">[1] M. E. H. Chowdhury et al., "Can AI Help in Screening Viral and COVID-19 Pneumonia?" IEEE Access, vol. 8, pp. 132665–132676, 2020.</w:t>
      </w:r>
    </w:p>
    <w:p>
      <w:pPr>
        <w:spacing w:after="60" w:before="40" w:line="276" w:lineRule="auto"/>
        <w:jc w:val="both"/>
      </w:pPr>
      <w:r>
        <w:rPr>
          <w:rFonts w:ascii="Times New Roman" w:cs="Times New Roman" w:eastAsia="Times New Roman" w:hAnsi="Times New Roman"/>
          <w:sz w:val="24"/>
          <w:szCs w:val="24"/>
        </w:rPr>
        <w:t xml:space="preserve">[2] J. Cohen, J. Viviano, P. Bertin, P. Morrison, P. Torabian, M. Guarrera, B. Lungren, A. Chaudhari, R. Brooks, S. Hashir, and H. Bertrand, "TorchXRayVision: A library of chest X-ray datasets and models," in Proc. MICCAI Workshop, 2022.</w:t>
      </w:r>
    </w:p>
    <w:p>
      <w:pPr>
        <w:spacing w:after="60" w:before="40" w:line="276" w:lineRule="auto"/>
        <w:jc w:val="both"/>
      </w:pPr>
      <w:r>
        <w:rPr>
          <w:rFonts w:ascii="Times New Roman" w:cs="Times New Roman" w:eastAsia="Times New Roman" w:hAnsi="Times New Roman"/>
          <w:sz w:val="24"/>
          <w:szCs w:val="24"/>
        </w:rPr>
        <w:t xml:space="preserve">[3] A. Yousefpour, I. Shilov, A. Sablayrolles, D. Testuggine, K. Prasad, M. Malek, J. Nguyen, S. Ghosh, A. Bharadwaj, J. Zhao, G. Cormode, and I. Mironov, "Opacus: User-friendly differential privacy library in PyTorch," arXiv:2109.12298, 2021.</w:t>
      </w:r>
    </w:p>
    <w:p>
      <w:pPr>
        <w:spacing w:after="60" w:before="40" w:line="276" w:lineRule="auto"/>
        <w:jc w:val="both"/>
      </w:pPr>
      <w:r>
        <w:rPr>
          <w:rFonts w:ascii="Times New Roman" w:cs="Times New Roman" w:eastAsia="Times New Roman" w:hAnsi="Times New Roman"/>
          <w:sz w:val="24"/>
          <w:szCs w:val="24"/>
        </w:rPr>
        <w:t xml:space="preserve">[4] I. Mironov, "Rényi differential privacy of the Gaussian mechanism," in Proc. IEEE CSF, 2017, pp. 263–275.</w:t>
      </w:r>
    </w:p>
    <w:p>
      <w:pPr>
        <w:spacing w:after="60" w:before="40" w:line="276" w:lineRule="auto"/>
        <w:jc w:val="both"/>
      </w:pPr>
      <w:r>
        <w:rPr>
          <w:rFonts w:ascii="Times New Roman" w:cs="Times New Roman" w:eastAsia="Times New Roman" w:hAnsi="Times New Roman"/>
          <w:sz w:val="24"/>
          <w:szCs w:val="24"/>
        </w:rPr>
        <w:t xml:space="preserve">[5] P. Kairouz et al., "Advances and open problems in federated learning," Foundations and Trends in Machine Learning, vol. 14, no. 1–2, pp. 1–210, 2021.</w:t>
      </w:r>
    </w:p>
    <w:p>
      <w:pPr>
        <w:spacing w:after="60" w:before="40" w:line="276" w:lineRule="auto"/>
        <w:jc w:val="both"/>
      </w:pPr>
      <w:r>
        <w:rPr>
          <w:rFonts w:ascii="Times New Roman" w:cs="Times New Roman" w:eastAsia="Times New Roman" w:hAnsi="Times New Roman"/>
          <w:sz w:val="24"/>
          <w:szCs w:val="24"/>
        </w:rPr>
        <w:t xml:space="preserve">[6] B. McMahan, E. Moore, D. Ramage, S. Hampson, and B. A. y Arcas, "Communication-efficient learning of deep networks from decentralized data," in Proc. AISTATS, 2017, pp. 1273–1282.</w:t>
      </w:r>
    </w:p>
    <w:p>
      <w:pPr>
        <w:spacing w:after="60" w:before="40" w:line="276" w:lineRule="auto"/>
        <w:jc w:val="both"/>
      </w:pPr>
      <w:r>
        <w:rPr>
          <w:rFonts w:ascii="Times New Roman" w:cs="Times New Roman" w:eastAsia="Times New Roman" w:hAnsi="Times New Roman"/>
          <w:sz w:val="24"/>
          <w:szCs w:val="24"/>
        </w:rPr>
        <w:t xml:space="preserve">[7] T. Li, A. K. Sahu, M. Zaheer, M. Sanjabi, A. Smola, and V. Smith, "Federated optimization in heterogeneous networks," in Proc. MLSys, 2020.</w:t>
      </w:r>
    </w:p>
    <w:p>
      <w:pPr>
        <w:spacing w:after="60" w:before="40" w:line="276" w:lineRule="auto"/>
        <w:jc w:val="both"/>
      </w:pPr>
      <w:r>
        <w:rPr>
          <w:rFonts w:ascii="Times New Roman" w:cs="Times New Roman" w:eastAsia="Times New Roman" w:hAnsi="Times New Roman"/>
          <w:sz w:val="24"/>
          <w:szCs w:val="24"/>
        </w:rPr>
        <w:t xml:space="preserve">[8] S. Kiani, A. Khodabandeh, and M. Schmidt, "Time-adaptive differentially private federated learning," in Proc. ICLR, 2025.</w:t>
      </w:r>
    </w:p>
    <w:p>
      <w:pPr>
        <w:spacing w:after="60" w:before="40" w:line="276" w:lineRule="auto"/>
        <w:jc w:val="both"/>
      </w:pPr>
      <w:r>
        <w:rPr>
          <w:rFonts w:ascii="Times New Roman" w:cs="Times New Roman" w:eastAsia="Times New Roman" w:hAnsi="Times New Roman"/>
          <w:sz w:val="24"/>
          <w:szCs w:val="24"/>
        </w:rPr>
        <w:t xml:space="preserve">[9] M. Geyer, T. Klein, E. Nettekoven, and B. Oguz, "Differentially private federated learning," arXiv:1911.03715, 2019.</w:t>
      </w:r>
    </w:p>
    <w:p>
      <w:pPr>
        <w:spacing w:after="60" w:before="40" w:line="276" w:lineRule="auto"/>
        <w:jc w:val="both"/>
      </w:pPr>
      <w:r>
        <w:rPr>
          <w:rFonts w:ascii="Times New Roman" w:cs="Times New Roman" w:eastAsia="Times New Roman" w:hAnsi="Times New Roman"/>
          <w:sz w:val="24"/>
          <w:szCs w:val="24"/>
        </w:rPr>
        <w:t xml:space="preserve">[10] A. Andrew, O. Thakkar, B. McMahan, and S. Ramaswamy, "Differentially private learning with adaptive clipping," in Proc. NeurIPS, 2021.</w:t>
      </w:r>
    </w:p>
    <w:p>
      <w:pPr>
        <w:spacing w:after="60" w:before="40" w:line="276" w:lineRule="auto"/>
        <w:jc w:val="both"/>
      </w:pPr>
      <w:r>
        <w:rPr>
          <w:rFonts w:ascii="Times New Roman" w:cs="Times New Roman" w:eastAsia="Times New Roman" w:hAnsi="Times New Roman"/>
          <w:sz w:val="24"/>
          <w:szCs w:val="24"/>
        </w:rPr>
        <w:t xml:space="preserve">[11] T. Li, A. K. Sahu, A. Talwalkar, and V. Smith, "Federated learning: Challenges, methods, and future directions," IEEE Signal Processing Magazine, vol. 37, no. 3, pp. 50–60, 2020.</w:t>
      </w:r>
    </w:p>
    <w:p>
      <w:pPr>
        <w:spacing w:after="60" w:before="40" w:line="276" w:lineRule="auto"/>
        <w:jc w:val="both"/>
      </w:pPr>
      <w:r>
        <w:rPr>
          <w:rFonts w:ascii="Times New Roman" w:cs="Times New Roman" w:eastAsia="Times New Roman" w:hAnsi="Times New Roman"/>
          <w:sz w:val="24"/>
          <w:szCs w:val="24"/>
        </w:rPr>
        <w:t xml:space="preserve">[12] J. Cohen, Statistical Power Analysis for the Behavioral Sciences, 2nd ed. Lawrence Erlbaum Associates, 1988.</w:t>
      </w:r>
    </w:p>
    <w:p>
      <w:pPr>
        <w:spacing w:after="60" w:before="40" w:line="276" w:lineRule="auto"/>
        <w:jc w:val="both"/>
      </w:pPr>
      <w:r>
        <w:rPr>
          <w:rFonts w:ascii="Times New Roman" w:cs="Times New Roman" w:eastAsia="Times New Roman" w:hAnsi="Times New Roman"/>
          <w:sz w:val="24"/>
          <w:szCs w:val="24"/>
        </w:rPr>
        <w:t xml:space="preserve">[13] P. Kairouz et al., "Advances and open problems in federated learning," Foundations and Trends in Machine Learning, vol. 14, no. 1–2, pp. 1–210,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2026-05-31T20:34:55.756Z</dcterms:created>
  <dcterms:modified xsi:type="dcterms:W3CDTF">2026-05-31T20:34:55.756Z</dcterms:modified>
</cp:coreProperties>
</file>

<file path=docProps/custom.xml><?xml version="1.0" encoding="utf-8"?>
<Properties xmlns="http://schemas.openxmlformats.org/officeDocument/2006/custom-properties" xmlns:vt="http://schemas.openxmlformats.org/officeDocument/2006/docPropsVTypes"/>
</file>