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600 kW Industrial Water Heating System with Grid-Tied PV Offset</w:t>
      </w:r>
    </w:p>
    <w:p>
      <w:pPr>
        <w:pStyle w:val="BodyText"/>
      </w:pPr>
      <w:r>
        <w:rPr>
          <w:b/>
          <w:bCs/>
        </w:rPr>
        <w:t xml:space="preserve">Faculty of Mechanical Engineering, GIK Institute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June 29, 2025</w:t>
      </w:r>
    </w:p>
    <w:p>
      <w:r>
        <w:pict>
          <v:rect style="width:0;height:1.5pt" o:hralign="center" o:hrstd="t" o:hr="t"/>
        </w:pict>
      </w:r>
    </w:p>
    <w:bookmarkStart w:id="20" w:name="objective"/>
    <w:p>
      <w:pPr>
        <w:pStyle w:val="Heading3"/>
      </w:pPr>
      <w:r>
        <w:rPr>
          <w:b/>
          <w:bCs/>
        </w:rPr>
        <w:t xml:space="preserve">1. Objective</w:t>
      </w:r>
    </w:p>
    <w:p>
      <w:pPr>
        <w:pStyle w:val="FirstParagraph"/>
      </w:pPr>
      <w:r>
        <w:t xml:space="preserve">To design and estimate a 600 kW industrial water heating system with a grid-tied solar photovoltaic (PV) system capable of offsetting the 24/7 electrical demand through net metering, without the use of batteries.</w:t>
      </w:r>
    </w:p>
    <w:p>
      <w:r>
        <w:pict>
          <v:rect style="width:0;height:1.5pt" o:hralign="center" o:hrstd="t" o:hr="t"/>
        </w:pict>
      </w:r>
    </w:p>
    <w:bookmarkEnd w:id="20"/>
    <w:bookmarkStart w:id="25" w:name="X719cd38180a5367c88096dfee6a73765190ad53"/>
    <w:p>
      <w:pPr>
        <w:pStyle w:val="Heading3"/>
      </w:pPr>
      <w:r>
        <w:rPr>
          <w:b/>
          <w:bCs/>
        </w:rPr>
        <w:t xml:space="preserve">2. Part A: Industrial Water Heating System Design</w:t>
      </w:r>
    </w:p>
    <w:bookmarkStart w:id="21" w:name="heating-requirements"/>
    <w:p>
      <w:pPr>
        <w:pStyle w:val="Heading4"/>
      </w:pPr>
      <w:r>
        <w:rPr>
          <w:b/>
          <w:bCs/>
        </w:rPr>
        <w:t xml:space="preserve">2.1 Heating Requirements</w:t>
      </w:r>
    </w:p>
    <w:p>
      <w:pPr>
        <w:pStyle w:val="FirstParagraph"/>
      </w:pPr>
      <w:r>
        <w:t xml:space="preserve">Based on the attached energy calculations (see Section 2 of original document), the total thermal energy required to heat and maintain the 12-ton water tank is: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Steady-State Heating Requirement:</w:t>
      </w:r>
      <w:r>
        <w:t xml:space="preserve"> </w:t>
      </w:r>
      <w:r>
        <w:t xml:space="preserve">576.2 kW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Tank Maintenance Load:</w:t>
      </w:r>
      <w:r>
        <w:t xml:space="preserve"> </w:t>
      </w:r>
      <w:r>
        <w:t xml:space="preserve">586.9 kW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Design Basis:</w:t>
      </w:r>
      <w:r>
        <w:t xml:space="preserve"> </w:t>
      </w:r>
      <w:r>
        <w:t xml:space="preserve">System is rated for</w:t>
      </w:r>
      <w:r>
        <w:t xml:space="preserve"> </w:t>
      </w:r>
      <w:r>
        <w:rPr>
          <w:b/>
          <w:bCs/>
        </w:rPr>
        <w:t xml:space="preserve">600 kW</w:t>
      </w:r>
      <w:r>
        <w:t xml:space="preserve"> </w:t>
      </w:r>
      <w:r>
        <w:t xml:space="preserve">total power.</w:t>
      </w:r>
    </w:p>
    <w:bookmarkEnd w:id="21"/>
    <w:bookmarkStart w:id="22" w:name="suitable-heater-types"/>
    <w:p>
      <w:pPr>
        <w:pStyle w:val="Heading4"/>
      </w:pPr>
      <w:r>
        <w:rPr>
          <w:b/>
          <w:bCs/>
        </w:rPr>
        <w:t xml:space="preserve">2.2 Suitable Heater Types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09"/>
        <w:gridCol w:w="1570"/>
        <w:gridCol w:w="1112"/>
        <w:gridCol w:w="2029"/>
        <w:gridCol w:w="189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 of Heater</w:t>
            </w:r>
          </w:p>
        </w:tc>
        <w:tc>
          <w:tcPr/>
          <w:p>
            <w:pPr>
              <w:pStyle w:val="Compact"/>
            </w:pPr>
            <w:r>
              <w:t xml:space="preserve">Suitable for</w:t>
            </w:r>
          </w:p>
        </w:tc>
        <w:tc>
          <w:tcPr/>
          <w:p>
            <w:pPr>
              <w:pStyle w:val="Compact"/>
            </w:pPr>
            <w:r>
              <w:t xml:space="preserve">Power Range</w:t>
            </w:r>
          </w:p>
        </w:tc>
        <w:tc>
          <w:tcPr/>
          <w:p>
            <w:pPr>
              <w:pStyle w:val="Compact"/>
            </w:pPr>
            <w:r>
              <w:t xml:space="preserve">Pros</w:t>
            </w:r>
          </w:p>
        </w:tc>
        <w:tc>
          <w:tcPr/>
          <w:p>
            <w:pPr>
              <w:pStyle w:val="Compact"/>
            </w:pPr>
            <w:r>
              <w:t xml:space="preserve">Cons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Flanged Immersion</w:t>
            </w:r>
          </w:p>
        </w:tc>
        <w:tc>
          <w:tcPr/>
          <w:p>
            <w:pPr>
              <w:pStyle w:val="Compact"/>
            </w:pPr>
            <w:r>
              <w:t xml:space="preserve">Industrial tanks</w:t>
            </w:r>
          </w:p>
        </w:tc>
        <w:tc>
          <w:tcPr/>
          <w:p>
            <w:pPr>
              <w:pStyle w:val="Compact"/>
            </w:pPr>
            <w:r>
              <w:t xml:space="preserve">20–1000+ kW</w:t>
            </w:r>
          </w:p>
        </w:tc>
        <w:tc>
          <w:tcPr/>
          <w:p>
            <w:pPr>
              <w:pStyle w:val="Compact"/>
            </w:pPr>
            <w:r>
              <w:t xml:space="preserve">High capacity, easy maintenance</w:t>
            </w:r>
          </w:p>
        </w:tc>
        <w:tc>
          <w:tcPr/>
          <w:p>
            <w:pPr>
              <w:pStyle w:val="Compact"/>
            </w:pPr>
            <w:r>
              <w:t xml:space="preserve">Requires tank flange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Screw-Plug Immersion</w:t>
            </w:r>
          </w:p>
        </w:tc>
        <w:tc>
          <w:tcPr/>
          <w:p>
            <w:pPr>
              <w:pStyle w:val="Compact"/>
            </w:pPr>
            <w:r>
              <w:t xml:space="preserve">Smaller modular installs</w:t>
            </w:r>
          </w:p>
        </w:tc>
        <w:tc>
          <w:tcPr/>
          <w:p>
            <w:pPr>
              <w:pStyle w:val="Compact"/>
            </w:pPr>
            <w:r>
              <w:t xml:space="preserve">1–60 kW</w:t>
            </w:r>
          </w:p>
        </w:tc>
        <w:tc>
          <w:tcPr/>
          <w:p>
            <w:pPr>
              <w:pStyle w:val="Compact"/>
            </w:pPr>
            <w:r>
              <w:t xml:space="preserve">Compact, cheap</w:t>
            </w:r>
          </w:p>
        </w:tc>
        <w:tc>
          <w:tcPr/>
          <w:p>
            <w:pPr>
              <w:pStyle w:val="Compact"/>
            </w:pPr>
            <w:r>
              <w:t xml:space="preserve">Requires many units and ports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Circulation (Inline)</w:t>
            </w:r>
          </w:p>
        </w:tc>
        <w:tc>
          <w:tcPr/>
          <w:p>
            <w:pPr>
              <w:pStyle w:val="Compact"/>
            </w:pPr>
            <w:r>
              <w:t xml:space="preserve">With pumping loop</w:t>
            </w:r>
          </w:p>
        </w:tc>
        <w:tc>
          <w:tcPr/>
          <w:p>
            <w:pPr>
              <w:pStyle w:val="Compact"/>
            </w:pPr>
            <w:r>
              <w:t xml:space="preserve">Up to 500 kW each</w:t>
            </w:r>
          </w:p>
        </w:tc>
        <w:tc>
          <w:tcPr/>
          <w:p>
            <w:pPr>
              <w:pStyle w:val="Compact"/>
            </w:pPr>
            <w:r>
              <w:t xml:space="preserve">External mounting, serviceable</w:t>
            </w:r>
          </w:p>
        </w:tc>
        <w:tc>
          <w:tcPr/>
          <w:p>
            <w:pPr>
              <w:pStyle w:val="Compact"/>
            </w:pPr>
            <w:r>
              <w:t xml:space="preserve">Requires pump, piping</w:t>
            </w:r>
          </w:p>
        </w:tc>
      </w:tr>
    </w:tbl>
    <w:p>
      <w:pPr>
        <w:pStyle w:val="BodyText"/>
      </w:pPr>
      <w:r>
        <w:rPr>
          <w:b/>
          <w:bCs/>
        </w:rPr>
        <w:t xml:space="preserve">Recommended Type:</w:t>
      </w:r>
      <w:r>
        <w:t xml:space="preserve"> </w:t>
      </w:r>
      <w:r>
        <w:t xml:space="preserve">Flanged Immersion Heaters (Incoloy 800/825 or SS316 sheath), 10x60 kW or 6x100 kW configuration.</w:t>
      </w:r>
    </w:p>
    <w:bookmarkEnd w:id="22"/>
    <w:bookmarkStart w:id="23" w:name="supplier-estimates"/>
    <w:p>
      <w:pPr>
        <w:pStyle w:val="Heading4"/>
      </w:pPr>
      <w:r>
        <w:rPr>
          <w:b/>
          <w:bCs/>
        </w:rPr>
        <w:t xml:space="preserve">2.3 Supplier Estimates</w:t>
      </w:r>
    </w:p>
    <w:p>
      <w:pPr>
        <w:pStyle w:val="FirstParagraph"/>
      </w:pPr>
      <w:r>
        <w:rPr>
          <w:b/>
          <w:bCs/>
        </w:rPr>
        <w:t xml:space="preserve">Pakistan: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Thermotech (Karachi):</w:t>
      </w:r>
      <w:r>
        <w:t xml:space="preserve"> </w:t>
      </w:r>
      <w:r>
        <w:t xml:space="preserve">10×60 kW flanged immersion heaters, Incoloy 825 sheaths:</w:t>
      </w:r>
      <w:r>
        <w:t xml:space="preserve"> </w:t>
      </w:r>
      <w:r>
        <w:rPr>
          <w:b/>
          <w:bCs/>
        </w:rPr>
        <w:t xml:space="preserve">PKR 0.8–1.0 million/unit</w:t>
      </w:r>
      <w:r>
        <w:t xml:space="preserve">, total:</w:t>
      </w:r>
      <w:r>
        <w:t xml:space="preserve"> </w:t>
      </w:r>
      <w:r>
        <w:rPr>
          <w:b/>
          <w:bCs/>
        </w:rPr>
        <w:t xml:space="preserve">PKR 8–10 million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Naeem Engineering:</w:t>
      </w:r>
      <w:r>
        <w:t xml:space="preserve"> </w:t>
      </w:r>
      <w:r>
        <w:t xml:space="preserve">6×100 kW flanged heaters, SS304 flanges and Incoloy elements:</w:t>
      </w:r>
      <w:r>
        <w:t xml:space="preserve"> </w:t>
      </w:r>
      <w:r>
        <w:rPr>
          <w:b/>
          <w:bCs/>
        </w:rPr>
        <w:t xml:space="preserve">PKR 1.1–1.2 million/unit</w:t>
      </w:r>
      <w:r>
        <w:t xml:space="preserve">, total:</w:t>
      </w:r>
      <w:r>
        <w:t xml:space="preserve"> </w:t>
      </w:r>
      <w:r>
        <w:rPr>
          <w:b/>
          <w:bCs/>
        </w:rPr>
        <w:t xml:space="preserve">PKR 6.6–7.2 million</w:t>
      </w:r>
    </w:p>
    <w:p>
      <w:pPr>
        <w:pStyle w:val="FirstParagraph"/>
      </w:pPr>
      <w:r>
        <w:rPr>
          <w:b/>
          <w:bCs/>
        </w:rPr>
        <w:t xml:space="preserve">USA: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Chromalox:</w:t>
      </w:r>
      <w:r>
        <w:t xml:space="preserve"> </w:t>
      </w:r>
      <w:r>
        <w:t xml:space="preserve">Custom 60 kW flanged units, SS or Incoloy elements:</w:t>
      </w:r>
      <w:r>
        <w:t xml:space="preserve"> </w:t>
      </w:r>
      <w:r>
        <w:rPr>
          <w:b/>
          <w:bCs/>
        </w:rPr>
        <w:t xml:space="preserve">$3,500–4,000 each</w:t>
      </w:r>
      <w:r>
        <w:t xml:space="preserve">, total:</w:t>
      </w:r>
      <w:r>
        <w:t xml:space="preserve"> </w:t>
      </w:r>
      <w:r>
        <w:rPr>
          <w:b/>
          <w:bCs/>
        </w:rPr>
        <w:t xml:space="preserve">$35,000–40,000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Watlow:</w:t>
      </w:r>
      <w:r>
        <w:t xml:space="preserve"> </w:t>
      </w:r>
      <w:r>
        <w:t xml:space="preserve">60–100 kW WATROD® flanged units:</w:t>
      </w:r>
      <w:r>
        <w:t xml:space="preserve"> </w:t>
      </w:r>
      <w:r>
        <w:rPr>
          <w:b/>
          <w:bCs/>
        </w:rPr>
        <w:t xml:space="preserve">$2,800–4,500 each</w:t>
      </w:r>
      <w:r>
        <w:t xml:space="preserve">, total:</w:t>
      </w:r>
      <w:r>
        <w:t xml:space="preserve"> </w:t>
      </w:r>
      <w:r>
        <w:rPr>
          <w:b/>
          <w:bCs/>
        </w:rPr>
        <w:t xml:space="preserve">$35,000–45,000</w:t>
      </w:r>
    </w:p>
    <w:bookmarkEnd w:id="23"/>
    <w:bookmarkStart w:id="24" w:name="summary-recommendation"/>
    <w:p>
      <w:pPr>
        <w:pStyle w:val="Heading4"/>
      </w:pPr>
      <w:r>
        <w:rPr>
          <w:b/>
          <w:bCs/>
        </w:rPr>
        <w:t xml:space="preserve">2.4 Summary Recommendation</w:t>
      </w:r>
    </w:p>
    <w:p>
      <w:pPr>
        <w:pStyle w:val="Compact"/>
        <w:numPr>
          <w:ilvl w:val="0"/>
          <w:numId w:val="1004"/>
        </w:numPr>
      </w:pPr>
      <w:r>
        <w:t xml:space="preserve">Use</w:t>
      </w:r>
      <w:r>
        <w:t xml:space="preserve"> </w:t>
      </w:r>
      <w:r>
        <w:rPr>
          <w:b/>
          <w:bCs/>
        </w:rPr>
        <w:t xml:space="preserve">flanged immersion heaters</w:t>
      </w:r>
      <w:r>
        <w:t xml:space="preserve"> </w:t>
      </w:r>
      <w:r>
        <w:t xml:space="preserve">for durability and serviceability.</w:t>
      </w:r>
    </w:p>
    <w:p>
      <w:pPr>
        <w:pStyle w:val="Compact"/>
        <w:numPr>
          <w:ilvl w:val="0"/>
          <w:numId w:val="1004"/>
        </w:numPr>
      </w:pPr>
      <w:r>
        <w:t xml:space="preserve">Material:</w:t>
      </w:r>
      <w:r>
        <w:t xml:space="preserve"> </w:t>
      </w:r>
      <w:r>
        <w:rPr>
          <w:b/>
          <w:bCs/>
        </w:rPr>
        <w:t xml:space="preserve">Incoloy 800/825 or SS316</w:t>
      </w:r>
      <w:r>
        <w:t xml:space="preserve"> </w:t>
      </w:r>
      <w:r>
        <w:t xml:space="preserve">to tolerate industrial water.</w:t>
      </w:r>
    </w:p>
    <w:p>
      <w:pPr>
        <w:pStyle w:val="Compact"/>
        <w:numPr>
          <w:ilvl w:val="0"/>
          <w:numId w:val="1004"/>
        </w:numPr>
      </w:pPr>
      <w:r>
        <w:t xml:space="preserve">Mounting: ANSI flanged ports to be welded to tank wall.</w:t>
      </w:r>
    </w:p>
    <w:p>
      <w:pPr>
        <w:pStyle w:val="Compact"/>
        <w:numPr>
          <w:ilvl w:val="0"/>
          <w:numId w:val="1004"/>
        </w:numPr>
      </w:pPr>
      <w:r>
        <w:t xml:space="preserve">Power Distribution: 10×60 kW or 6×100 kW units.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3" w:name="X12a0da2cc721021c1d25270e6f8a35384c64ca4"/>
    <w:p>
      <w:pPr>
        <w:pStyle w:val="Heading3"/>
      </w:pPr>
      <w:r>
        <w:rPr>
          <w:b/>
          <w:bCs/>
        </w:rPr>
        <w:t xml:space="preserve">3. Part B: Grid-Tied PV System to Offset 600 kW Load (24/7)</w:t>
      </w:r>
    </w:p>
    <w:bookmarkStart w:id="26" w:name="objective-1"/>
    <w:p>
      <w:pPr>
        <w:pStyle w:val="Heading4"/>
      </w:pPr>
      <w:r>
        <w:rPr>
          <w:b/>
          <w:bCs/>
        </w:rPr>
        <w:t xml:space="preserve">3.1 Objective</w:t>
      </w:r>
    </w:p>
    <w:p>
      <w:pPr>
        <w:pStyle w:val="FirstParagraph"/>
      </w:pPr>
      <w:r>
        <w:t xml:space="preserve">Offset a continuous</w:t>
      </w:r>
      <w:r>
        <w:t xml:space="preserve"> </w:t>
      </w:r>
      <w:r>
        <w:rPr>
          <w:b/>
          <w:bCs/>
        </w:rPr>
        <w:t xml:space="preserve">600 kW</w:t>
      </w:r>
      <w:r>
        <w:t xml:space="preserve"> </w:t>
      </w:r>
      <w:r>
        <w:t xml:space="preserve">electrical heating load (14,400 kWh/day) using solar PV, without battery storage. Surplus daytime generation will be net-metered against nighttime grid consumption.</w:t>
      </w:r>
    </w:p>
    <w:bookmarkEnd w:id="26"/>
    <w:bookmarkStart w:id="27" w:name="solar-irradiance-yield"/>
    <w:p>
      <w:pPr>
        <w:pStyle w:val="Heading4"/>
      </w:pPr>
      <w:r>
        <w:rPr>
          <w:b/>
          <w:bCs/>
        </w:rPr>
        <w:t xml:space="preserve">3.2 Solar Irradiance &amp; Yield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Location:</w:t>
      </w:r>
      <w:r>
        <w:t xml:space="preserve"> </w:t>
      </w:r>
      <w:r>
        <w:t xml:space="preserve">Swabi District, KP, Pakistan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Average Solar Irradiance:</w:t>
      </w:r>
      <w:r>
        <w:t xml:space="preserve"> </w:t>
      </w:r>
      <w:r>
        <w:t xml:space="preserve">~5.8–6.0 kWh/m²/day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System Efficiency:</w:t>
      </w:r>
      <w:r>
        <w:t xml:space="preserve"> </w:t>
      </w:r>
      <w:r>
        <w:t xml:space="preserve">~75–80%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Daily PV Output Target:</w:t>
      </w:r>
      <w:r>
        <w:t xml:space="preserve"> </w:t>
      </w:r>
      <w:r>
        <w:t xml:space="preserve">14,400 kWh</w:t>
      </w:r>
    </w:p>
    <w:bookmarkEnd w:id="27"/>
    <w:bookmarkStart w:id="28" w:name="pv-system-sizing"/>
    <w:p>
      <w:pPr>
        <w:pStyle w:val="Heading4"/>
      </w:pPr>
      <w:r>
        <w:rPr>
          <w:b/>
          <w:bCs/>
        </w:rPr>
        <w:t xml:space="preserve">3.3 PV System Sizing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Daily energy need</w:t>
            </w:r>
          </w:p>
        </w:tc>
        <w:tc>
          <w:tcPr/>
          <w:p>
            <w:pPr>
              <w:pStyle w:val="Compact"/>
            </w:pPr>
            <w:r>
              <w:t xml:space="preserve">14,400 kWh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Effective sun hours</w:t>
            </w:r>
          </w:p>
        </w:tc>
        <w:tc>
          <w:tcPr/>
          <w:p>
            <w:pPr>
              <w:pStyle w:val="Compact"/>
            </w:pPr>
            <w:r>
              <w:t xml:space="preserve">6.0 kWh/kW-day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System efficiency</w:t>
            </w:r>
          </w:p>
        </w:tc>
        <w:tc>
          <w:tcPr/>
          <w:p>
            <w:pPr>
              <w:pStyle w:val="Compact"/>
            </w:pPr>
            <w:r>
              <w:t xml:space="preserve">75–80%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Required PV capacity</w:t>
            </w:r>
          </w:p>
        </w:tc>
        <w:tc>
          <w:tcPr/>
          <w:p>
            <w:pPr>
              <w:pStyle w:val="Compact"/>
            </w:pPr>
            <w:r>
              <w:t xml:space="preserve">3.2 to 3.3 MW (DC)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Module size</w:t>
            </w:r>
          </w:p>
        </w:tc>
        <w:tc>
          <w:tcPr/>
          <w:p>
            <w:pPr>
              <w:pStyle w:val="Compact"/>
            </w:pPr>
            <w:r>
              <w:t xml:space="preserve">540–600 W (mono PERC)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Number of panels</w:t>
            </w:r>
          </w:p>
        </w:tc>
        <w:tc>
          <w:tcPr/>
          <w:p>
            <w:pPr>
              <w:pStyle w:val="Compact"/>
            </w:pPr>
            <w:r>
              <w:t xml:space="preserve">~5,500–6,000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Land required</w:t>
            </w:r>
          </w:p>
        </w:tc>
        <w:tc>
          <w:tcPr/>
          <w:p>
            <w:pPr>
              <w:pStyle w:val="Compact"/>
            </w:pPr>
            <w:r>
              <w:t xml:space="preserve">~15 acres (≈6 hectares)</w:t>
            </w:r>
          </w:p>
        </w:tc>
      </w:tr>
    </w:tbl>
    <w:bookmarkEnd w:id="28"/>
    <w:bookmarkStart w:id="29" w:name="inverter-and-mounting-system"/>
    <w:p>
      <w:pPr>
        <w:pStyle w:val="Heading4"/>
      </w:pPr>
      <w:r>
        <w:rPr>
          <w:b/>
          <w:bCs/>
        </w:rPr>
        <w:t xml:space="preserve">3.4 Inverter and Mounting System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Inverters:</w:t>
      </w:r>
      <w:r>
        <w:t xml:space="preserve"> </w:t>
      </w:r>
      <w:r>
        <w:t xml:space="preserve">2×1.65 MW central or 10×330 kW string inverters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Mounting:</w:t>
      </w:r>
      <w:r>
        <w:t xml:space="preserve"> </w:t>
      </w:r>
      <w:r>
        <w:t xml:space="preserve">Fixed ground-mount with 30° south-facing tilt</w:t>
      </w:r>
    </w:p>
    <w:bookmarkEnd w:id="29"/>
    <w:bookmarkStart w:id="30" w:name="Xc802719507ef7ef00a66ed8c1be1c2151181a24"/>
    <w:p>
      <w:pPr>
        <w:pStyle w:val="Heading4"/>
      </w:pPr>
      <w:r>
        <w:rPr>
          <w:b/>
          <w:bCs/>
        </w:rPr>
        <w:t xml:space="preserve">3.5 Cost Estimate</w:t>
      </w:r>
      <w:r>
        <w:t xml:space="preserve"> </w:t>
      </w:r>
      <w:r>
        <w:rPr>
          <w:i/>
          <w:iCs/>
        </w:rPr>
        <w:t xml:space="preserve">(Exchange rate: 1 USD = PKR 285)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Cost (PKR)</w:t>
            </w:r>
          </w:p>
        </w:tc>
        <w:tc>
          <w:tcPr/>
          <w:p>
            <w:pPr>
              <w:pStyle w:val="Compact"/>
            </w:pPr>
            <w:r>
              <w:t xml:space="preserve">Cost (USD)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PV Modules (6000×600W)</w:t>
            </w:r>
          </w:p>
        </w:tc>
        <w:tc>
          <w:tcPr/>
          <w:p>
            <w:pPr>
              <w:pStyle w:val="Compact"/>
            </w:pPr>
            <w:r>
              <w:t xml:space="preserve">122,400,000</w:t>
            </w:r>
          </w:p>
        </w:tc>
        <w:tc>
          <w:tcPr/>
          <w:p>
            <w:pPr>
              <w:pStyle w:val="Compact"/>
            </w:pPr>
            <w:r>
              <w:t xml:space="preserve">$429,000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Inverters</w:t>
            </w:r>
          </w:p>
        </w:tc>
        <w:tc>
          <w:tcPr/>
          <w:p>
            <w:pPr>
              <w:pStyle w:val="Compact"/>
            </w:pPr>
            <w:r>
              <w:t xml:space="preserve">50,000,000</w:t>
            </w:r>
          </w:p>
        </w:tc>
        <w:tc>
          <w:tcPr/>
          <w:p>
            <w:pPr>
              <w:pStyle w:val="Compact"/>
            </w:pPr>
            <w:r>
              <w:t xml:space="preserve">$175,000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Racking &amp; Mounting</w:t>
            </w:r>
          </w:p>
        </w:tc>
        <w:tc>
          <w:tcPr/>
          <w:p>
            <w:pPr>
              <w:pStyle w:val="Compact"/>
            </w:pPr>
            <w:r>
              <w:t xml:space="preserve">80,000,000</w:t>
            </w:r>
          </w:p>
        </w:tc>
        <w:tc>
          <w:tcPr/>
          <w:p>
            <w:pPr>
              <w:pStyle w:val="Compact"/>
            </w:pPr>
            <w:r>
              <w:t xml:space="preserve">$280,000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Cabling &amp; Combiner Boxes</w:t>
            </w:r>
          </w:p>
        </w:tc>
        <w:tc>
          <w:tcPr/>
          <w:p>
            <w:pPr>
              <w:pStyle w:val="Compact"/>
            </w:pPr>
            <w:r>
              <w:t xml:space="preserve">30,000,000</w:t>
            </w:r>
          </w:p>
        </w:tc>
        <w:tc>
          <w:tcPr/>
          <w:p>
            <w:pPr>
              <w:pStyle w:val="Compact"/>
            </w:pPr>
            <w:r>
              <w:t xml:space="preserve">$105,000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Civil Works &amp; Labor</w:t>
            </w:r>
          </w:p>
        </w:tc>
        <w:tc>
          <w:tcPr/>
          <w:p>
            <w:pPr>
              <w:pStyle w:val="Compact"/>
            </w:pPr>
            <w:r>
              <w:t xml:space="preserve">50,000,000</w:t>
            </w:r>
          </w:p>
        </w:tc>
        <w:tc>
          <w:tcPr/>
          <w:p>
            <w:pPr>
              <w:pStyle w:val="Compact"/>
            </w:pPr>
            <w:r>
              <w:t xml:space="preserve">$175,000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Grid-Tie Infrastructure</w:t>
            </w:r>
          </w:p>
        </w:tc>
        <w:tc>
          <w:tcPr/>
          <w:p>
            <w:pPr>
              <w:pStyle w:val="Compact"/>
            </w:pPr>
            <w:r>
              <w:t xml:space="preserve">20,000,000</w:t>
            </w:r>
          </w:p>
        </w:tc>
        <w:tc>
          <w:tcPr/>
          <w:p>
            <w:pPr>
              <w:pStyle w:val="Compact"/>
            </w:pPr>
            <w:r>
              <w:t xml:space="preserve">$70,000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Contingency (15–20%)</w:t>
            </w:r>
          </w:p>
        </w:tc>
        <w:tc>
          <w:tcPr/>
          <w:p>
            <w:pPr>
              <w:pStyle w:val="Compact"/>
            </w:pPr>
            <w:r>
              <w:t xml:space="preserve">67,600,000</w:t>
            </w:r>
          </w:p>
        </w:tc>
        <w:tc>
          <w:tcPr/>
          <w:p>
            <w:pPr>
              <w:pStyle w:val="Compact"/>
            </w:pPr>
            <w:r>
              <w:t xml:space="preserve">$236,000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Estimate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~420,000,000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~$1.47M</w:t>
            </w:r>
          </w:p>
        </w:tc>
      </w:tr>
    </w:tbl>
    <w:bookmarkEnd w:id="30"/>
    <w:bookmarkStart w:id="31" w:name="financial-feasibility"/>
    <w:p>
      <w:pPr>
        <w:pStyle w:val="Heading4"/>
      </w:pPr>
      <w:r>
        <w:rPr>
          <w:b/>
          <w:bCs/>
        </w:rPr>
        <w:t xml:space="preserve">3.6 Financial Feasibility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Levelized Cost of Electricity (LCOE):</w:t>
      </w:r>
      <w:r>
        <w:t xml:space="preserve"> </w:t>
      </w:r>
      <w:r>
        <w:t xml:space="preserve">Rs 5–9/kWh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Offset Tariff:</w:t>
      </w:r>
      <w:r>
        <w:t xml:space="preserve"> </w:t>
      </w:r>
      <w:r>
        <w:t xml:space="preserve">Rs 30–35/kWh (Industrial grid rate)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Simple Payback:</w:t>
      </w:r>
      <w:r>
        <w:t xml:space="preserve"> </w:t>
      </w:r>
      <w:r>
        <w:t xml:space="preserve">~2–3 years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ROI over 25 years:</w:t>
      </w:r>
      <w:r>
        <w:t xml:space="preserve"> </w:t>
      </w:r>
      <w:r>
        <w:t xml:space="preserve">Very High (&gt;100%)</w:t>
      </w:r>
    </w:p>
    <w:bookmarkEnd w:id="31"/>
    <w:bookmarkStart w:id="32" w:name="final-pv-system-summary"/>
    <w:p>
      <w:pPr>
        <w:pStyle w:val="Heading4"/>
      </w:pPr>
      <w:r>
        <w:rPr>
          <w:b/>
          <w:bCs/>
        </w:rPr>
        <w:t xml:space="preserve">3.7 Final PV System Summary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Design:</w:t>
      </w:r>
      <w:r>
        <w:t xml:space="preserve"> </w:t>
      </w:r>
      <w:r>
        <w:t xml:space="preserve">Grid-tied, net-metered, ground-mounted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Capacity:</w:t>
      </w:r>
      <w:r>
        <w:t xml:space="preserve"> </w:t>
      </w:r>
      <w:r>
        <w:t xml:space="preserve">3.3 MW to offset 600 kW continuous load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Panels:</w:t>
      </w:r>
      <w:r>
        <w:t xml:space="preserve"> </w:t>
      </w:r>
      <w:r>
        <w:t xml:space="preserve">540–600 W mono PERC, ~6,000 units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Total Cost:</w:t>
      </w:r>
      <w:r>
        <w:t xml:space="preserve"> </w:t>
      </w:r>
      <w:r>
        <w:t xml:space="preserve">Rs. 420–600 million (USD 1.47–2.1M)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conclusion"/>
    <w:p>
      <w:pPr>
        <w:pStyle w:val="Heading3"/>
      </w:pPr>
      <w:r>
        <w:rPr>
          <w:b/>
          <w:bCs/>
        </w:rPr>
        <w:t xml:space="preserve">4. Conclusion</w:t>
      </w:r>
    </w:p>
    <w:p>
      <w:pPr>
        <w:pStyle w:val="FirstParagraph"/>
      </w:pPr>
      <w:r>
        <w:t xml:space="preserve">The combined industrial heating and PV offset solution integrates:</w:t>
      </w:r>
    </w:p>
    <w:p>
      <w:pPr>
        <w:pStyle w:val="Compact"/>
        <w:numPr>
          <w:ilvl w:val="0"/>
          <w:numId w:val="1009"/>
        </w:numPr>
      </w:pPr>
      <w:r>
        <w:t xml:space="preserve">A durable flanged-immersion electric heating system rated for 600 kW.</w:t>
      </w:r>
    </w:p>
    <w:p>
      <w:pPr>
        <w:pStyle w:val="Compact"/>
        <w:numPr>
          <w:ilvl w:val="0"/>
          <w:numId w:val="1009"/>
        </w:numPr>
      </w:pPr>
      <w:r>
        <w:t xml:space="preserve">A grid-tied 3.3 MW PV system to offset full daily electrical demand via net metering.</w:t>
      </w:r>
    </w:p>
    <w:p>
      <w:pPr>
        <w:pStyle w:val="FirstParagraph"/>
      </w:pPr>
      <w:r>
        <w:t xml:space="preserve">This system provides a sustainable, low-LCOE, and highly efficient thermal energy supply solution for industrial applications, with rapid return on investment and scalability for future integration.</w:t>
      </w:r>
    </w:p>
    <w:p>
      <w:r>
        <w:pict>
          <v:rect style="width:0;height:1.5pt" o:hralign="center" o:hrstd="t" o:hr="t"/>
        </w:pict>
      </w:r>
    </w:p>
    <w:bookmarkEnd w:id="34"/>
    <w:bookmarkStart w:id="40" w:name="references"/>
    <w:p>
      <w:pPr>
        <w:pStyle w:val="Heading3"/>
      </w:pPr>
      <w:r>
        <w:rPr>
          <w:b/>
          <w:bCs/>
        </w:rPr>
        <w:t xml:space="preserve">5. References</w:t>
      </w:r>
    </w:p>
    <w:p>
      <w:pPr>
        <w:pStyle w:val="Compact"/>
        <w:numPr>
          <w:ilvl w:val="0"/>
          <w:numId w:val="1010"/>
        </w:numPr>
      </w:pPr>
      <w:r>
        <w:t xml:space="preserve">Chromalox Product Catalog,</w:t>
      </w:r>
      <w:r>
        <w:t xml:space="preserve"> </w:t>
      </w:r>
      <w:hyperlink r:id="rId35">
        <w:r>
          <w:rPr>
            <w:rStyle w:val="Hyperlink"/>
          </w:rPr>
          <w:t xml:space="preserve">www.chromalox.com</w:t>
        </w:r>
      </w:hyperlink>
    </w:p>
    <w:p>
      <w:pPr>
        <w:pStyle w:val="Compact"/>
        <w:numPr>
          <w:ilvl w:val="0"/>
          <w:numId w:val="1010"/>
        </w:numPr>
      </w:pPr>
      <w:r>
        <w:t xml:space="preserve">Watlow Heater Selection Guide,</w:t>
      </w:r>
      <w:r>
        <w:t xml:space="preserve"> </w:t>
      </w:r>
      <w:hyperlink r:id="rId36">
        <w:r>
          <w:rPr>
            <w:rStyle w:val="Hyperlink"/>
          </w:rPr>
          <w:t xml:space="preserve">www.watlow.com</w:t>
        </w:r>
      </w:hyperlink>
    </w:p>
    <w:p>
      <w:pPr>
        <w:pStyle w:val="Compact"/>
        <w:numPr>
          <w:ilvl w:val="0"/>
          <w:numId w:val="1010"/>
        </w:numPr>
      </w:pPr>
      <w:r>
        <w:t xml:space="preserve">Thermotech Pakistan,</w:t>
      </w:r>
      <w:r>
        <w:t xml:space="preserve"> </w:t>
      </w:r>
      <w:hyperlink r:id="rId37">
        <w:r>
          <w:rPr>
            <w:rStyle w:val="Hyperlink"/>
          </w:rPr>
          <w:t xml:space="preserve">www.thermotech.com.pk</w:t>
        </w:r>
      </w:hyperlink>
    </w:p>
    <w:p>
      <w:pPr>
        <w:pStyle w:val="Compact"/>
        <w:numPr>
          <w:ilvl w:val="0"/>
          <w:numId w:val="1010"/>
        </w:numPr>
      </w:pPr>
      <w:r>
        <w:t xml:space="preserve">Pakistan Meteorological Department, Solar Resource Data</w:t>
      </w:r>
    </w:p>
    <w:p>
      <w:pPr>
        <w:pStyle w:val="Compact"/>
        <w:numPr>
          <w:ilvl w:val="0"/>
          <w:numId w:val="1010"/>
        </w:numPr>
      </w:pPr>
      <w:r>
        <w:t xml:space="preserve">SolarGIS / PVGIS Database, EU Commission</w:t>
      </w:r>
    </w:p>
    <w:p>
      <w:pPr>
        <w:pStyle w:val="Compact"/>
        <w:numPr>
          <w:ilvl w:val="0"/>
          <w:numId w:val="1010"/>
        </w:numPr>
      </w:pPr>
      <w:r>
        <w:t xml:space="preserve">NEPRA Tariff Determination Reports (2023–2025)</w:t>
      </w:r>
    </w:p>
    <w:p>
      <w:pPr>
        <w:pStyle w:val="Compact"/>
        <w:numPr>
          <w:ilvl w:val="0"/>
          <w:numId w:val="1010"/>
        </w:numPr>
      </w:pPr>
      <w:r>
        <w:t xml:space="preserve">NREL PVWatts Calculator,</w:t>
      </w:r>
      <w:r>
        <w:t xml:space="preserve"> </w:t>
      </w:r>
      <w:hyperlink r:id="rId38">
        <w:r>
          <w:rPr>
            <w:rStyle w:val="Hyperlink"/>
          </w:rPr>
          <w:t xml:space="preserve">https://pvwatts.nrel.gov</w:t>
        </w:r>
      </w:hyperlink>
    </w:p>
    <w:p>
      <w:pPr>
        <w:pStyle w:val="Compact"/>
        <w:numPr>
          <w:ilvl w:val="0"/>
          <w:numId w:val="1010"/>
        </w:numPr>
      </w:pPr>
      <w:r>
        <w:t xml:space="preserve">“Photovoltaic System Design Handbook”</w:t>
      </w:r>
      <w:r>
        <w:t xml:space="preserve"> </w:t>
      </w:r>
      <w:r>
        <w:t xml:space="preserve">– J. N. Stone, CRC Press</w:t>
      </w:r>
    </w:p>
    <w:p>
      <w:pPr>
        <w:pStyle w:val="Compact"/>
        <w:numPr>
          <w:ilvl w:val="0"/>
          <w:numId w:val="1010"/>
        </w:numPr>
      </w:pPr>
      <w:r>
        <w:t xml:space="preserve">Industrial Heating Elements Guide – Wattco,</w:t>
      </w:r>
      <w:r>
        <w:t xml:space="preserve"> </w:t>
      </w:r>
      <w:hyperlink r:id="rId39">
        <w:r>
          <w:rPr>
            <w:rStyle w:val="Hyperlink"/>
          </w:rPr>
          <w:t xml:space="preserve">www.wattco.com</w:t>
        </w:r>
      </w:hyperlink>
    </w:p>
    <w:p>
      <w:pPr>
        <w:pStyle w:val="Compact"/>
        <w:numPr>
          <w:ilvl w:val="0"/>
          <w:numId w:val="1010"/>
        </w:numPr>
      </w:pPr>
      <w:r>
        <w:t xml:space="preserve">ASHRAE Handbook of HVAC Systems and Equipment</w:t>
      </w:r>
    </w:p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5" Target="http://www.chromalox.com" TargetMode="External" /><Relationship Type="http://schemas.openxmlformats.org/officeDocument/2006/relationships/hyperlink" Id="rId37" Target="http://www.thermotech.com.pk" TargetMode="External" /><Relationship Type="http://schemas.openxmlformats.org/officeDocument/2006/relationships/hyperlink" Id="rId36" Target="http://www.watlow.com" TargetMode="External" /><Relationship Type="http://schemas.openxmlformats.org/officeDocument/2006/relationships/hyperlink" Id="rId39" Target="http://www.wattco.com" TargetMode="External" /><Relationship Type="http://schemas.openxmlformats.org/officeDocument/2006/relationships/hyperlink" Id="rId38" Target="https://pvwatts.nrel.gov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5" Target="http://www.chromalox.com" TargetMode="External" /><Relationship Type="http://schemas.openxmlformats.org/officeDocument/2006/relationships/hyperlink" Id="rId37" Target="http://www.thermotech.com.pk" TargetMode="External" /><Relationship Type="http://schemas.openxmlformats.org/officeDocument/2006/relationships/hyperlink" Id="rId36" Target="http://www.watlow.com" TargetMode="External" /><Relationship Type="http://schemas.openxmlformats.org/officeDocument/2006/relationships/hyperlink" Id="rId39" Target="http://www.wattco.com" TargetMode="External" /><Relationship Type="http://schemas.openxmlformats.org/officeDocument/2006/relationships/hyperlink" Id="rId38" Target="https://pvwatts.nrel.gov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2025-06-30T09:22:14Z</dcterms:created>
  <dcterms:modified xsi:type="dcterms:W3CDTF">2025-06-30T09:22:14Z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