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۱۱ (واقعات: 2)</w:t>
      </w:r>
    </w:p>
    <w:p>
      <w:pPr>
        <w:spacing w:after="240"/>
      </w:pPr>
    </w:p>
    <w:p>
      <w:pPr>
        <w:spacing w:before="280" w:after="80"/>
        <w:jc w:val="right"/>
      </w:pPr>
      <w:r>
        <w:rPr>
          <w:rFonts w:ascii="Jameel Noori Nastaleeq" w:hAnsi="Jameel Noori Nastaleeq"/>
          <w:b/>
          <w:color w:val="1B365D"/>
          <w:sz w:val="34"/>
        </w:rPr>
        <w:t>واقعہ 1: مسائل الحدیث :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۱۱، صفحہ ۲۷۹</w:t>
      </w:r>
    </w:p>
    <w:p>
      <w:pPr>
        <w:spacing w:before="60" w:after="80" w:line="312" w:lineRule="auto"/>
        <w:ind w:right="288" w:left="288"/>
        <w:jc w:val="right"/>
      </w:pPr>
      <w:r>
        <w:rPr>
          <w:rFonts w:ascii="Jameel Noori Nastaleeq" w:hAnsi="Jameel Noori Nastaleeq"/>
          <w:color w:val="222222"/>
          <w:sz w:val="27"/>
        </w:rPr>
        <w:t>مسائل الحدیث : ۔</w:t>
      </w:r>
    </w:p>
    <w:p>
      <w:pPr>
        <w:spacing w:before="60" w:after="80" w:line="312" w:lineRule="auto"/>
        <w:ind w:right="288" w:left="288"/>
        <w:jc w:val="right"/>
      </w:pPr>
      <w:r>
        <w:rPr>
          <w:rFonts w:ascii="Jameel Noori Nastaleeq" w:hAnsi="Jameel Noori Nastaleeq"/>
          <w:color w:val="222222"/>
          <w:sz w:val="27"/>
        </w:rPr>
        <w:t>معارف میں ہے کہ اس حدیث کے مسائل پر بعض نے دو جلدیں لکھی ہیں ۔ بذل المجہود ( 4 ) اور عارضہ میں اس حدیث کے ذیل میں چند اہم مسائل ذکر کئے گئے ہیں یہاں ان کا خلاصہ پیش خدمت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پہلی حدیث کی تشریح :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۱۱، صفحہ ۴۹۲</w:t>
      </w:r>
    </w:p>
    <w:p>
      <w:pPr>
        <w:spacing w:before="60" w:after="80" w:line="312" w:lineRule="auto"/>
        <w:ind w:right="288" w:left="288"/>
        <w:jc w:val="right"/>
      </w:pPr>
      <w:r>
        <w:rPr>
          <w:rFonts w:ascii="Jameel Noori Nastaleeq" w:hAnsi="Jameel Noori Nastaleeq"/>
          <w:color w:val="222222"/>
          <w:sz w:val="27"/>
        </w:rPr>
        <w:t>پہلی حدیث کی تشریح : ۔</w:t>
      </w:r>
    </w:p>
    <w:p>
      <w:pPr>
        <w:spacing w:before="60" w:after="80" w:line="312" w:lineRule="auto"/>
        <w:ind w:right="288" w:left="288"/>
        <w:jc w:val="right"/>
      </w:pPr>
      <w:r>
        <w:rPr>
          <w:rFonts w:ascii="Jameel Noori Nastaleeq" w:hAnsi="Jameel Noori Nastaleeq"/>
          <w:color w:val="222222"/>
          <w:sz w:val="27"/>
        </w:rPr>
        <w:t>نبیہ بن وھب فرماتے ہیں کہ ابن معمر اپنے بیٹے ( طلحہ ) کا نکاح کرنا چاہتے تھے تو انہوں نے مجھے ابان بن عثمان ( ابن عفان ) جو موسم حج کے امیر حجاج تھے کے پاس بھیجا تو میں ان کے پاس آیا ۔</w:t>
      </w:r>
    </w:p>
    <w:p>
      <w:pPr>
        <w:spacing w:before="60" w:after="80" w:line="312" w:lineRule="auto"/>
        <w:ind w:right="288" w:left="288"/>
        <w:jc w:val="right"/>
      </w:pPr>
      <w:r>
        <w:rPr>
          <w:rFonts w:ascii="Jameel Noori Nastaleeq" w:hAnsi="Jameel Noori Nastaleeq"/>
          <w:color w:val="222222"/>
          <w:sz w:val="27"/>
        </w:rPr>
        <w:t>فقلت ان اخاک یرید ان ینکح ابنہ فاحب ان یشہدک ذالک فقال لاأُراہ الااعرابیاً جافیاً ۔</w:t>
      </w:r>
    </w:p>
    <w:p>
      <w:pPr>
        <w:spacing w:before="60" w:after="80" w:line="312" w:lineRule="auto"/>
        <w:ind w:right="288" w:left="288"/>
        <w:jc w:val="right"/>
      </w:pPr>
      <w:r>
        <w:rPr>
          <w:rFonts w:ascii="Jameel Noori Nastaleeq" w:hAnsi="Jameel Noori Nastaleeq"/>
          <w:color w:val="222222"/>
          <w:sz w:val="27"/>
        </w:rPr>
        <w:t>اعرابی اس کو کہتے ہیں جو بادیہ اور دیہی علاقے میں رہتاہو ’’ نہایہ ‘‘ میں ہے ’’ من بدا جفا ‘‘ یعنی جو بادیہ میں رہتا ہے اس کا مزاج سخت ہوتا ہے اور طبعیت میں غلظۃ ہوتی ہے کیونکہ وہ علماء اور عقلاء سے دور ہوتا ہے اس لئے علم اور اخلاق کی روشنی سے بے نور ہوتا ہے ۔</w:t>
      </w:r>
    </w:p>
    <w:p>
      <w:pPr>
        <w:spacing w:before="60" w:after="80" w:line="312" w:lineRule="auto"/>
        <w:ind w:right="288" w:left="288"/>
        <w:jc w:val="right"/>
      </w:pPr>
      <w:r>
        <w:rPr>
          <w:rFonts w:ascii="Jameel Noori Nastaleeq" w:hAnsi="Jameel Noori Nastaleeq"/>
          <w:color w:val="222222"/>
          <w:sz w:val="27"/>
        </w:rPr>
        <w:t>پھر حضرت عثمانؓ کے حوالے سے مرفوعاً فرمایا ان المحرم لاینکح ولاینکح ( 2 ) اس میں اول نکاح سے ہے جبکہ ثانی انکاح سے ہے لہٰذا اول مجرد سے ہے اور ثانی مزید سے متعدی ہے ۔</w:t>
      </w:r>
    </w:p>
    <w:p>
      <w:pPr>
        <w:spacing w:before="60" w:after="80" w:line="312" w:lineRule="auto"/>
        <w:ind w:right="288" w:left="288"/>
        <w:jc w:val="right"/>
      </w:pPr>
      <w:r>
        <w:rPr>
          <w:rFonts w:ascii="Jameel Noori Nastaleeq" w:hAnsi="Jameel Noori Nastaleeq"/>
          <w:color w:val="222222"/>
          <w:sz w:val="27"/>
        </w:rPr>
        <w:t>دوسری حدیث ابورافعؓ سے ہے یہ حضور علیہ السلام کے مولی ہیں البتہ ان کے نام میں اختلاف ہے امام ترمذی نے ابواب الزکوٰۃ میں لکھا ہے وابوا رافع مولی النبی صلی اللہ علیہ وسلم اسمہ اسلم‘ حضرت علیؓ کے اول دور خلافت میں وفات پائی ہے ۔</w:t>
      </w:r>
    </w:p>
    <w:p>
      <w:pPr>
        <w:spacing w:before="60" w:after="80" w:line="312" w:lineRule="auto"/>
        <w:ind w:right="288" w:left="288"/>
        <w:jc w:val="right"/>
      </w:pPr>
      <w:r>
        <w:rPr>
          <w:rFonts w:ascii="Jameel Noori Nastaleeq" w:hAnsi="Jameel Noori Nastaleeq"/>
          <w:color w:val="222222"/>
          <w:sz w:val="27"/>
        </w:rPr>
        <w:t>حضرت میمونہ رضی اللہ عنہا کا نکاح سنہ ۷ہجری میں عمرۃ القضاء کے سفرمیں ہواہے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( 2 ) رواہ مسلم ص : ۴۵۳ ج : ۱ ’’ باب تحریم نکاح المحرم وکراہۃ خطبتہ ‘‘ کتاب النکاح ۔ الحنفی عفی عنہ</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