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درسِ ترمذی — جلد ۲ (واقعات: 1)</w:t>
      </w:r>
    </w:p>
    <w:p>
      <w:pPr>
        <w:spacing w:after="240"/>
      </w:pPr>
    </w:p>
    <w:p>
      <w:pPr>
        <w:spacing w:before="280" w:after="80"/>
        <w:jc w:val="right"/>
      </w:pPr>
      <w:r>
        <w:rPr>
          <w:rFonts w:ascii="Jameel Noori Nastaleeq" w:hAnsi="Jameel Noori Nastaleeq"/>
          <w:b/>
          <w:color w:val="1B365D"/>
          <w:sz w:val="34"/>
        </w:rPr>
        <w:t>واقعہ 1: ایک چشم دید واقعہ: ۔</w:t>
      </w:r>
    </w:p>
    <w:p>
      <w:pPr>
        <w:spacing w:after="120"/>
        <w:jc w:val="right"/>
      </w:pPr>
      <w:r>
        <w:rPr>
          <w:rFonts w:ascii="Jameel Noori Nastaleeq" w:hAnsi="Jameel Noori Nastaleeq"/>
          <w:i/>
          <w:color w:val="555555"/>
          <w:sz w:val="22"/>
        </w:rPr>
        <w:t>موضوع: حدیث و سیرت | مصنف: مفتی محمد تقی عثمانی | حوالہ: درسِ ترمذی، جلد ۲، صفحہ ۲۸۹</w:t>
      </w:r>
    </w:p>
    <w:p>
      <w:pPr>
        <w:spacing w:before="60" w:after="80" w:line="312" w:lineRule="auto"/>
        <w:ind w:right="288" w:left="288"/>
        <w:jc w:val="right"/>
      </w:pPr>
      <w:r>
        <w:rPr>
          <w:rFonts w:ascii="Jameel Noori Nastaleeq" w:hAnsi="Jameel Noori Nastaleeq"/>
          <w:color w:val="222222"/>
          <w:sz w:val="27"/>
        </w:rPr>
        <w:t>ایک چشم دید واقعہ: ۔</w:t>
      </w:r>
    </w:p>
    <w:p>
      <w:pPr>
        <w:spacing w:before="60" w:after="80" w:line="312" w:lineRule="auto"/>
        <w:ind w:right="288" w:left="288"/>
        <w:jc w:val="right"/>
      </w:pPr>
      <w:r>
        <w:rPr>
          <w:rFonts w:ascii="Jameel Noori Nastaleeq" w:hAnsi="Jameel Noori Nastaleeq"/>
          <w:color w:val="222222"/>
          <w:sz w:val="27"/>
        </w:rPr>
        <w:t>مسجد نبوی کے قریب ایک مسجد میں جو غالباً غیر مقلدین کی تھی میں نے کسی عارض کی بناء پر عشاء کی نماز پڑھی‘ جیسے ہی جماعت ختم ہوئی اور لوگ سنتوں کے لئے کھڑے ہوئے تو اتنے میں محراب کے قریب دوسری جماعت شروع ہوئی چونکہ نماز عشاء کی تھی اس لئے امام جہراً قراءت کرتارہا مسجد چونکہ زیادہ بڑی نہیں تھی اس لئے سب لوگ قراءت کی آواز سن رہے تھے ۔ میں نے یہ غریب منظر دیکھ کر جہاں ایک طرف ‘اہل ظواہر پر افسوس کیا وہیں دوسری طرف میرے ذہن میں فقاہت کی قدر اوربڑھ گئی کہ یہ لوگ فجر کی سنتوں کو جماعت شروع ہوجانے پر ترک کردیتے ہیں جبکہ وہ قریب الوجوب ہیں اور یہاں کسی نے عشاء کی سنت ترک کرکے جماعت میں شمولیت پر توجہ نہ دی اس بیماری کا کیا علاج ہے ؟ کیا یہ باب کی حدیث فقط جماعت فجر اور سنن فجر کے ساتھ مختص ہے ؟ اس کی کیا دلیل ہے ؟ گو کہ اس میں اس توجیہ کی گنجائش ہے کہ حدیث میں فلاصلوۃ الاالمکتوبۃ میں مکتوبہ سے مراد مکتوبہ امام نہیں بلکہ سب کی مراد ہے مگر اس قسم کی تقییدات کے فقہاء تو قائل ہوسکتے ہیں ظاہریہ کی نظر ان کی طرف نہیں جاتی ۔ خاص کر جبکہ ظاہریہ وحنابلہ کے نزدیک جماعت ثانیہ میں اداکی جانے والی نماز فرض ہوتی ہے ۔ کمامرمن قبل</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