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ملفوظات حکیم الامت — جلد ۲۳ (مکمل)</w:t>
      </w:r>
    </w:p>
    <w:p>
      <w:pPr>
        <w:spacing w:after="480"/>
        <w:jc w:val="center"/>
      </w:pPr>
      <w:r>
        <w:rPr>
          <w:rFonts w:ascii="Jameel Noori Nastaleeq" w:hAnsi="Jameel Noori Nastaleeq"/>
          <w:i/>
          <w:color w:val="555555"/>
          <w:sz w:val="26"/>
        </w:rPr>
        <w:t>مجموعی مستند واقعات: 4 | ماخذ: ملفوظات حکیم الامت جلد ۲۳ (کتاب البلاغ، کراچی)</w:t>
      </w:r>
    </w:p>
    <w:p>
      <w:pPr>
        <w:spacing w:after="240"/>
      </w:pPr>
    </w:p>
    <w:p>
      <w:pPr>
        <w:spacing w:before="280" w:after="80"/>
        <w:jc w:val="right"/>
      </w:pPr>
      <w:r>
        <w:rPr>
          <w:rFonts w:ascii="Jameel Noori Nastaleeq" w:hAnsi="Jameel Noori Nastaleeq"/>
          <w:b/>
          <w:color w:val="1B365D"/>
          <w:sz w:val="34"/>
        </w:rPr>
        <w:t>واقعہ 1: مجذوب کو کوڑا مارنے والے سپاہی کو تھانیدار بننے کی دعا کا لطیفہ</w:t>
      </w:r>
    </w:p>
    <w:p>
      <w:pPr>
        <w:spacing w:after="120"/>
        <w:jc w:val="right"/>
      </w:pPr>
      <w:r>
        <w:rPr>
          <w:rFonts w:ascii="Jameel Noori Nastaleeq" w:hAnsi="Jameel Noori Nastaleeq"/>
          <w:color w:val="555555"/>
          <w:sz w:val="22"/>
        </w:rPr>
        <w:t>موضوع: حکمت و بصارت | شخصیت: حکیم الامت مولانا اشرف علی تھانوی | حوالہ: ملفوظات حکیم الامت، جلد ۲۳، صفحہ ۴۹-۵۰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جیسا کہ ایک مجزوب نے ایک سپاہی کو جس نے انہیں ہنڑ ماردیا تھا بددعا دی تھی کہ اللہ اس کو تھانہ دار کردے اور وہ چند ہی روز میں تھانہ دار ہوگیا تھا</w:t>
            </w:r>
          </w:p>
        </w:tc>
      </w:tr>
    </w:tbl>
    <w:p>
      <w:pPr>
        <w:spacing w:after="80"/>
      </w:pPr>
    </w:p>
    <w:p>
      <w:pPr>
        <w:spacing w:before="280" w:after="80"/>
        <w:jc w:val="right"/>
      </w:pPr>
      <w:r>
        <w:rPr>
          <w:rFonts w:ascii="Jameel Noori Nastaleeq" w:hAnsi="Jameel Noori Nastaleeq"/>
          <w:b/>
          <w:color w:val="1B365D"/>
          <w:sz w:val="34"/>
        </w:rPr>
        <w:t>واقعہ 2: غم و پریشانی کے وقت نماز میں پناہ: رسول اللہ ﷺ کے سنت مبارکہ</w:t>
      </w:r>
    </w:p>
    <w:p>
      <w:pPr>
        <w:spacing w:after="120"/>
        <w:jc w:val="right"/>
      </w:pPr>
      <w:r>
        <w:rPr>
          <w:rFonts w:ascii="Jameel Noori Nastaleeq" w:hAnsi="Jameel Noori Nastaleeq"/>
          <w:color w:val="555555"/>
          <w:sz w:val="22"/>
        </w:rPr>
        <w:t>موضوع: سیرت و سنن | شخصیت: نبی کریم ﷺ, حکیم الامت مولانا اشرف علی تھانوی | حوالہ: ملفوظات حکیم الامت، جلد ۲۳، صفحہ ۵۴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فرمایا کہ حدیث میں ہے اذا افزع بہ خرج الی الصلوۃ یعنی جب حضور صلی اللہ وعلیہ وسلم کو کوئی بڑی فکر پیش آتی تو آپ جلدی سے نماز میں مشغول ہوجاتے تاکہ حق تعالیٰ باتیں کر کے دل بہلا ئیں اور تسلی وسکون حاصل کریں - واقعی تجربہ ومشاہدہ ہے کہ رنج وفکر کی حاکت میں نماز میں مشغول ہوجانے سے رنج بہت کم ہوجاتا ہے</w:t>
            </w:r>
          </w:p>
        </w:tc>
      </w:tr>
    </w:tbl>
    <w:p>
      <w:pPr>
        <w:spacing w:after="80"/>
      </w:pPr>
    </w:p>
    <w:p>
      <w:pPr>
        <w:spacing w:before="280" w:after="80"/>
        <w:jc w:val="right"/>
      </w:pPr>
      <w:r>
        <w:rPr>
          <w:rFonts w:ascii="Jameel Noori Nastaleeq" w:hAnsi="Jameel Noori Nastaleeq"/>
          <w:b/>
          <w:color w:val="1B365D"/>
          <w:sz w:val="34"/>
        </w:rPr>
        <w:t>واقعہ 3: تسخیرِ عملیات بمقابلہ مقبولیتِ الٰہی: ملمع اور کیمیا کی مثال</w:t>
      </w:r>
    </w:p>
    <w:p>
      <w:pPr>
        <w:spacing w:after="120"/>
        <w:jc w:val="right"/>
      </w:pPr>
      <w:r>
        <w:rPr>
          <w:rFonts w:ascii="Jameel Noori Nastaleeq" w:hAnsi="Jameel Noori Nastaleeq"/>
          <w:color w:val="555555"/>
          <w:sz w:val="22"/>
        </w:rPr>
        <w:t>موضوع: حکمت و تعلیم | شخصیت: حکیم الامت مولانا اشرف علی تھانوی | حوالہ: ملفوظات حکیم الامت، جلد ۲۳، صفحہ ۲۶۵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فرمایا کہ تسخیر اور قبولیت عند اللہ یہ فرق ہے کہ جو عملیات وغیرہ سے تسخیر کی جاتی ہے اس کا اثر </w:t>
              <w:br/>
              <w:br/>
              <w:t xml:space="preserve">فوری ہوتا ہے دیر پانہیں ہوتا اور مقبولیت عند اللہ کا اثر روز بروز ہوتا جاتا ہے اور کبھی زائل نہیں </w:t>
              <w:br/>
              <w:br/>
              <w:t xml:space="preserve">ہوتا - جیسے ایک تو ملمع ہوتا ہے کہ شروع شروع میں گو اصلی کندن سے بھی زیادہ اس میں آب وتاب </w:t>
              <w:br/>
              <w:br/>
              <w:t xml:space="preserve">ہوتی ہے لیکن جب جھول اتر جاتا ہے تو پھر وہی تانبہ بر خلاف اس کے جو تانبہ کیمیا کے ذریعہ </w:t>
              <w:br/>
              <w:br/>
              <w:t>سے سونا بن جاتا ہے اس کے جگر تک اثر پہنچ جاتا ہے سونا ہونے کی خاصیت کبھی زائل نہیں ہوتی</w:t>
            </w:r>
          </w:p>
        </w:tc>
      </w:tr>
    </w:tbl>
    <w:p>
      <w:pPr>
        <w:spacing w:after="80"/>
      </w:pPr>
    </w:p>
    <w:p>
      <w:pPr>
        <w:spacing w:before="280" w:after="80"/>
        <w:jc w:val="right"/>
      </w:pPr>
      <w:r>
        <w:rPr>
          <w:rFonts w:ascii="Jameel Noori Nastaleeq" w:hAnsi="Jameel Noori Nastaleeq"/>
          <w:b/>
          <w:color w:val="1B365D"/>
          <w:sz w:val="34"/>
        </w:rPr>
        <w:t>واقعہ 4: مولانا تھانویؒ کا کلام: امرد پرستی کی ظلمت بمقابلہ عشقِ زناں</w:t>
      </w:r>
    </w:p>
    <w:p>
      <w:pPr>
        <w:spacing w:after="120"/>
        <w:jc w:val="right"/>
      </w:pPr>
      <w:r>
        <w:rPr>
          <w:rFonts w:ascii="Jameel Noori Nastaleeq" w:hAnsi="Jameel Noori Nastaleeq"/>
          <w:color w:val="555555"/>
          <w:sz w:val="22"/>
        </w:rPr>
        <w:t>موضوع: تصوف و اخلاق | شخصیت: حکیم الامت مولانا اشرف علی تھانوی | حوالہ: ملفوظات حکیم الامت، جلد ۲۳، صفحہ ۲۶۵-۲۶۶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فرمایا کہ عورتوں کا عشق خواہ حرام ہو لیکن وجدانا اس کی ظلمت میں پھر بھی ایک قسم کی کمی </w:t>
              <w:br/>
              <w:br/>
              <w:t>ہوتی ہے بخلاف امردوں کے عشق کے کہ اس میں ظلمت شدید ہوتی ہے کیونکہ عورتیں گو</w:t>
              <w:br/>
              <w:br/>
              <w:t xml:space="preserve">نا محرم ہوں لیکن کسی حال میں کسی شخص کے لئے تو محل تمتع ہیں - امرد تو کسی شخص کے لئے کسی </w:t>
              <w:br/>
              <w:br/>
              <w:t xml:space="preserve">حال میں محل تمتع فطرۃ ہیں ہی نہیں - عشق زناں تو مشابہ تہ خانہ کی تاریکی کے ہے کہ اس کی </w:t>
              <w:br/>
              <w:br/>
              <w:br/>
              <w:t>ظلمت عارضی ہے اور عشق امرداں مشابہ اندھیری رات کی تاریکی کے ہے</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