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454"/>
            <w:shd w:fill="07162E"/>
            <w:vAlign w:val="center"/>
            <w:tcMar>
              <w:top w:w="500" w:type="dxa"/>
              <w:start w:w="420" w:type="dxa"/>
              <w:bottom w:w="480" w:type="dxa"/>
              <w:end w:w="4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600" w:line="240" w:lineRule="auto"/>
              <w:jc w:val="center"/>
            </w:pPr>
            <w:r>
              <w:rPr>
                <w:rFonts w:ascii="Arial" w:hAnsi="Arial" w:eastAsia="Arial"/>
                <w:b/>
                <w:color w:val="2EC4B6"/>
                <w:sz w:val="24"/>
              </w:rPr>
              <w:t>AUTOMOTIVE FUNCTIONAL SAFETY</w:t>
            </w:r>
            <w:r>
              <w:rPr>
                <w:rFonts w:ascii="Arial" w:hAnsi="Arial" w:eastAsia="Arial"/>
                <w:b/>
                <w:color w:val="FFFFFF"/>
                <w:sz w:val="84"/>
              </w:rPr>
              <w:br/>
              <w:t>FMEA</w:t>
            </w:r>
            <w:r>
              <w:rPr>
                <w:rFonts w:ascii="Arial" w:hAnsi="Arial" w:eastAsia="Arial"/>
                <w:b/>
                <w:color w:val="FFFFFF"/>
                <w:sz w:val="68"/>
              </w:rPr>
              <w:br/>
              <w:t>RISK LENS</w:t>
            </w:r>
            <w:r>
              <w:rPr>
                <w:rFonts w:ascii="Arial" w:hAnsi="Arial" w:eastAsia="Arial"/>
                <w:b w:val="0"/>
                <w:color w:val="D7E4EC"/>
                <w:sz w:val="28"/>
              </w:rPr>
              <w:br/>
              <w:t>Evidence-based scoring for automotive electronics design reviews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3485"/>
              <w:gridCol w:w="3485"/>
              <w:gridCol w:w="3485"/>
            </w:tblGrid>
            <w:tr>
              <w:tc>
                <w:tcPr>
                  <w:tcW w:type="dxa" w:w="3240"/>
                  <w:shd w:fill="E63946"/>
                  <w:vAlign w:val="center"/>
                  <w:tcMar>
                    <w:top w:w="160" w:type="dxa"/>
                    <w:start w:w="70" w:type="dxa"/>
                    <w:bottom w:w="160" w:type="dxa"/>
                    <w:end w:w="70" w:type="dxa"/>
                  </w:tcMar>
                  <w:tcBorders>
                    <w:top w:val="single" w:sz="8" w:color="07162E"/>
                    <w:left w:val="single" w:sz="8" w:color="07162E"/>
                    <w:bottom w:val="single" w:sz="8" w:color="07162E"/>
                    <w:right w:val="single" w:sz="8" w:color="07162E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54"/>
                    </w:rPr>
                    <w:t>S</w:t>
                  </w:r>
                  <w:r>
                    <w:rPr>
                      <w:rFonts w:ascii="Arial" w:hAnsi="Arial" w:eastAsia="Arial"/>
                      <w:b/>
                      <w:color w:val="FFFFFF"/>
                      <w:sz w:val="16"/>
                    </w:rPr>
                    <w:br/>
                    <w:t>IMPACT</w:t>
                  </w:r>
                </w:p>
              </w:tc>
              <w:tc>
                <w:tcPr>
                  <w:tcW w:type="dxa" w:w="3240"/>
                  <w:shd w:fill="FFB000"/>
                  <w:vAlign w:val="center"/>
                  <w:tcMar>
                    <w:top w:w="160" w:type="dxa"/>
                    <w:start w:w="70" w:type="dxa"/>
                    <w:bottom w:w="160" w:type="dxa"/>
                    <w:end w:w="70" w:type="dxa"/>
                  </w:tcMar>
                  <w:tcBorders>
                    <w:top w:val="single" w:sz="8" w:color="07162E"/>
                    <w:left w:val="single" w:sz="8" w:color="07162E"/>
                    <w:bottom w:val="single" w:sz="8" w:color="07162E"/>
                    <w:right w:val="single" w:sz="8" w:color="07162E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/>
                      <w:b/>
                      <w:color w:val="182638"/>
                      <w:sz w:val="54"/>
                    </w:rPr>
                    <w:t>O</w:t>
                  </w:r>
                  <w:r>
                    <w:rPr>
                      <w:rFonts w:ascii="Arial" w:hAnsi="Arial" w:eastAsia="Arial"/>
                      <w:b/>
                      <w:color w:val="182638"/>
                      <w:sz w:val="16"/>
                    </w:rPr>
                    <w:br/>
                    <w:t>RECURRENCE</w:t>
                  </w:r>
                </w:p>
              </w:tc>
              <w:tc>
                <w:tcPr>
                  <w:tcW w:type="dxa" w:w="3240"/>
                  <w:shd w:fill="2EC4B6"/>
                  <w:vAlign w:val="center"/>
                  <w:tcMar>
                    <w:top w:w="160" w:type="dxa"/>
                    <w:start w:w="70" w:type="dxa"/>
                    <w:bottom w:w="160" w:type="dxa"/>
                    <w:end w:w="70" w:type="dxa"/>
                  </w:tcMar>
                  <w:tcBorders>
                    <w:top w:val="single" w:sz="8" w:color="07162E"/>
                    <w:left w:val="single" w:sz="8" w:color="07162E"/>
                    <w:bottom w:val="single" w:sz="8" w:color="07162E"/>
                    <w:right w:val="single" w:sz="8" w:color="07162E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/>
                      <w:b/>
                      <w:color w:val="182638"/>
                      <w:sz w:val="54"/>
                    </w:rPr>
                    <w:t>D</w:t>
                  </w:r>
                  <w:r>
                    <w:rPr>
                      <w:rFonts w:ascii="Arial" w:hAnsi="Arial" w:eastAsia="Arial"/>
                      <w:b/>
                      <w:color w:val="182638"/>
                      <w:sz w:val="16"/>
                    </w:rPr>
                    <w:br/>
                    <w:t>CONTROL CONFIDENCE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br/>
              <w:t>A custom engineering framework by Hamza Alzakarneh</w:t>
            </w:r>
            <w:r>
              <w:rPr>
                <w:rFonts w:ascii="Arial" w:hAnsi="Arial" w:eastAsia="Arial"/>
                <w:b w:val="0"/>
                <w:color w:val="2EC4B6"/>
                <w:sz w:val="18"/>
              </w:rPr>
              <w:br/>
              <w:t>Automotive Functional Safety Engineering Playbook</w:t>
            </w:r>
          </w:p>
        </w:tc>
      </w:tr>
    </w:tbl>
    <w:p>
      <w:pPr>
        <w:spacing w:before="160" w:after="0" w:line="240" w:lineRule="auto"/>
        <w:jc w:val="center"/>
      </w:pPr>
      <w:r>
        <w:rPr>
          <w:rFonts w:ascii="Arial" w:hAnsi="Arial" w:eastAsia="Arial"/>
          <w:b/>
          <w:color w:val="536675"/>
          <w:sz w:val="16"/>
        </w:rPr>
        <w:t>ORIGINAL PROJECT AID  •  VERSION 1.0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color w:val="536675"/>
          <w:sz w:val="15"/>
        </w:rPr>
        <w:t>This document is not an official ISO, AIAG-VDA, OEM, or regulatory ranking table. Tailor it to the project and approved organizational process.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6"/>
        <w:gridCol w:w="9302"/>
      </w:tblGrid>
      <w:tr>
        <w:tc>
          <w:tcPr>
            <w:tcW w:type="dxa" w:w="5227"/>
            <w:shd w:fill="2EC4B6"/>
            <w:tcMar>
              <w:top w:w="130" w:type="dxa"/>
              <w:start w:w="120" w:type="dxa"/>
              <w:bottom w:w="13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07162E"/>
                <w:sz w:val="40"/>
              </w:rPr>
              <w:t>1</w:t>
            </w:r>
          </w:p>
        </w:tc>
        <w:tc>
          <w:tcPr>
            <w:tcW w:type="dxa" w:w="5227"/>
            <w:shd w:fill="0D2F4F"/>
            <w:tcMar>
              <w:top w:w="130" w:type="dxa"/>
              <w:start w:w="120" w:type="dxa"/>
              <w:bottom w:w="13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34"/>
              </w:rPr>
              <w:t>FRAMEWORK IN ONE VIEW</w:t>
            </w:r>
            <w:r>
              <w:rPr>
                <w:rFonts w:ascii="Arial" w:hAnsi="Arial" w:eastAsia="Arial"/>
                <w:b w:val="0"/>
                <w:color w:val="D7E4EC"/>
                <w:sz w:val="17"/>
              </w:rPr>
              <w:br/>
              <w:t>The score starts the discussion; the evidence and response lane drive the decision.</w:t>
            </w:r>
          </w:p>
        </w:tc>
      </w:tr>
    </w:tbl>
    <w:p>
      <w:pPr>
        <w:spacing w:after="0"/>
      </w:pPr>
    </w:p>
    <w:p>
      <w:pPr>
        <w:spacing w:before="0" w:after="160" w:line="264" w:lineRule="auto"/>
      </w:pPr>
      <w:r>
        <w:rPr>
          <w:rFonts w:ascii="Arial" w:hAnsi="Arial" w:eastAsia="Arial"/>
          <w:b w:val="0"/>
          <w:color w:val="182638"/>
          <w:sz w:val="20"/>
        </w:rPr>
        <w:t>The FMEA Risk Lens keeps the familiar Severity–Occurrence–Detection model but requires a written evidence basis beside every rating. It is designed for automotive electronics teams that need a direct connection between design risk, safety architecture, diagnostics, validation, and closure evidence.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312"/>
            <w:shd w:fill="FDEBED"/>
            <w:tcMar>
              <w:top w:w="160" w:type="dxa"/>
              <w:start w:w="120" w:type="dxa"/>
              <w:bottom w:w="160" w:type="dxa"/>
              <w:end w:w="120" w:type="dxa"/>
            </w:tcMar>
            <w:tcBorders>
              <w:top w:val="single" w:sz="12" w:color="E63946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E63946"/>
                <w:sz w:val="24"/>
              </w:rPr>
              <w:t>SEVERITY</w:t>
            </w:r>
            <w:r>
              <w:rPr>
                <w:rFonts w:ascii="Arial" w:hAnsi="Arial" w:eastAsia="Arial"/>
                <w:b w:val="0"/>
                <w:color w:val="182638"/>
                <w:sz w:val="18"/>
              </w:rPr>
              <w:br/>
              <w:t>What is the highest credible effect?</w:t>
            </w:r>
          </w:p>
        </w:tc>
        <w:tc>
          <w:tcPr>
            <w:tcW w:type="dxa" w:w="3312"/>
            <w:shd w:fill="FFF4D6"/>
            <w:tcMar>
              <w:top w:w="160" w:type="dxa"/>
              <w:start w:w="120" w:type="dxa"/>
              <w:bottom w:w="160" w:type="dxa"/>
              <w:end w:w="120" w:type="dxa"/>
            </w:tcMar>
            <w:tcBorders>
              <w:top w:val="single" w:sz="12" w:color="FFB000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B000"/>
                <w:sz w:val="24"/>
              </w:rPr>
              <w:t>OCCURRENCE</w:t>
            </w:r>
            <w:r>
              <w:rPr>
                <w:rFonts w:ascii="Arial" w:hAnsi="Arial" w:eastAsia="Arial"/>
                <w:b w:val="0"/>
                <w:color w:val="182638"/>
                <w:sz w:val="18"/>
              </w:rPr>
              <w:br/>
              <w:t>How credible is the cause in this design?</w:t>
            </w:r>
          </w:p>
        </w:tc>
        <w:tc>
          <w:tcPr>
            <w:tcW w:type="dxa" w:w="3312"/>
            <w:shd w:fill="DDF7F4"/>
            <w:tcMar>
              <w:top w:w="160" w:type="dxa"/>
              <w:start w:w="120" w:type="dxa"/>
              <w:bottom w:w="160" w:type="dxa"/>
              <w:end w:w="120" w:type="dxa"/>
            </w:tcMar>
            <w:tcBorders>
              <w:top w:val="single" w:sz="12" w:color="2EC4B6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2EC4B6"/>
                <w:sz w:val="24"/>
              </w:rPr>
              <w:t>DETECTION</w:t>
            </w:r>
            <w:r>
              <w:rPr>
                <w:rFonts w:ascii="Arial" w:hAnsi="Arial" w:eastAsia="Arial"/>
                <w:b w:val="0"/>
                <w:color w:val="182638"/>
                <w:sz w:val="18"/>
              </w:rPr>
              <w:br/>
              <w:t>How confidently do controls prevent or detect it?</w:t>
            </w:r>
          </w:p>
        </w:tc>
      </w:tr>
    </w:tbl>
    <w:p/>
    <w:p>
      <w:pPr>
        <w:spacing w:before="0" w:after="120" w:line="240" w:lineRule="auto"/>
      </w:pPr>
      <w:r>
        <w:rPr>
          <w:rFonts w:ascii="Arial" w:hAnsi="Arial" w:eastAsia="Arial"/>
          <w:b/>
          <w:color w:val="0D2F4F"/>
          <w:sz w:val="26"/>
        </w:rPr>
        <w:t>Four response lanes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880"/>
            <w:shd w:fill="E63946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A — STOP &amp; ESCALATE</w:t>
            </w:r>
          </w:p>
        </w:tc>
        <w:tc>
          <w:tcPr>
            <w:tcW w:type="dxa" w:w="7200"/>
            <w:shd w:fill="F7FAFC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82638"/>
                <w:sz w:val="17"/>
              </w:rPr>
              <w:t>Severity 9–10, safety-goal concern, or uncontrolled hazardous response.</w:t>
            </w:r>
          </w:p>
        </w:tc>
      </w:tr>
      <w:tr>
        <w:tc>
          <w:tcPr>
            <w:tcW w:type="dxa" w:w="2880"/>
            <w:shd w:fill="F0803C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B — ARCHITECTURE ACTION</w:t>
            </w:r>
          </w:p>
        </w:tc>
        <w:tc>
          <w:tcPr>
            <w:tcW w:type="dxa" w:w="7200"/>
            <w:shd w:fill="F7FAFC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82638"/>
                <w:sz w:val="17"/>
              </w:rPr>
              <w:t>High impact with weak control, single-point dependency, independence gap, or FTTI concern.</w:t>
            </w:r>
          </w:p>
        </w:tc>
      </w:tr>
      <w:tr>
        <w:tc>
          <w:tcPr>
            <w:tcW w:type="dxa" w:w="2880"/>
            <w:shd w:fill="FFB000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182638"/>
                <w:sz w:val="17"/>
              </w:rPr>
              <w:t>C — DESIGN ACTION</w:t>
            </w:r>
          </w:p>
        </w:tc>
        <w:tc>
          <w:tcPr>
            <w:tcW w:type="dxa" w:w="7200"/>
            <w:shd w:fill="F7FAFC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82638"/>
                <w:sz w:val="17"/>
              </w:rPr>
              <w:t>Material design/process risk, incomplete verification, adverse trend, or project action trigger.</w:t>
            </w:r>
          </w:p>
        </w:tc>
      </w:tr>
      <w:tr>
        <w:tc>
          <w:tcPr>
            <w:tcW w:type="dxa" w:w="2880"/>
            <w:shd w:fill="2EC4B6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182638"/>
                <w:sz w:val="17"/>
              </w:rPr>
              <w:t>D — CONTROL &amp; MONITOR</w:t>
            </w:r>
          </w:p>
        </w:tc>
        <w:tc>
          <w:tcPr>
            <w:tcW w:type="dxa" w:w="7200"/>
            <w:shd w:fill="F7FAFC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82638"/>
                <w:sz w:val="17"/>
              </w:rPr>
              <w:t>Low impact with stable prevention and detection evidence and no escalation trigger.</w:t>
            </w:r>
          </w:p>
        </w:tc>
      </w:tr>
    </w:tbl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color w:val="0D2F4F"/>
          <w:sz w:val="24"/>
        </w:rPr>
        <w:t>RPN = Severity × Occurrence × Detection</w:t>
      </w:r>
      <w:r>
        <w:rPr>
          <w:rFonts w:ascii="Arial" w:hAnsi="Arial" w:eastAsia="Arial"/>
          <w:b w:val="0"/>
          <w:color w:val="536675"/>
          <w:sz w:val="17"/>
        </w:rPr>
        <w:t>Use RPN only to sort comparable items. High severity, safety-goal linkage, weak independence, or timing violations override the arithmetic score.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6"/>
        <w:gridCol w:w="9302"/>
      </w:tblGrid>
      <w:tr>
        <w:tc>
          <w:tcPr>
            <w:tcW w:type="dxa" w:w="5227"/>
            <w:shd w:fill="2EC4B6"/>
            <w:tcMar>
              <w:top w:w="130" w:type="dxa"/>
              <w:start w:w="120" w:type="dxa"/>
              <w:bottom w:w="13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07162E"/>
                <w:sz w:val="40"/>
              </w:rPr>
              <w:t>2</w:t>
            </w:r>
          </w:p>
        </w:tc>
        <w:tc>
          <w:tcPr>
            <w:tcW w:type="dxa" w:w="5227"/>
            <w:shd w:fill="0D2F4F"/>
            <w:tcMar>
              <w:top w:w="130" w:type="dxa"/>
              <w:start w:w="120" w:type="dxa"/>
              <w:bottom w:w="13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34"/>
              </w:rPr>
              <w:t>SEVERITY — IMPACT LENS</w:t>
            </w:r>
            <w:r>
              <w:rPr>
                <w:rFonts w:ascii="Arial" w:hAnsi="Arial" w:eastAsia="Arial"/>
                <w:b w:val="0"/>
                <w:color w:val="D7E4EC"/>
                <w:sz w:val="17"/>
              </w:rPr>
              <w:br/>
              <w:t>Rate the highest credible effect. Stronger inspection does not reduce severity.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792"/>
            <w:shd w:fill="0D2F4F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val="single" w:sz="6" w:color="0D2F4F"/>
              <w:left w:val="single" w:sz="6" w:color="FFFFFF"/>
              <w:bottom w:val="single" w:sz="6" w:color="0D2F4F"/>
              <w:right w:val="single" w:sz="6" w:color="FFFFFF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#</w:t>
            </w:r>
          </w:p>
        </w:tc>
        <w:tc>
          <w:tcPr>
            <w:tcW w:type="dxa" w:w="1987"/>
            <w:shd w:fill="0D2F4F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val="single" w:sz="6" w:color="0D2F4F"/>
              <w:left w:val="single" w:sz="6" w:color="FFFFFF"/>
              <w:bottom w:val="single" w:sz="6" w:color="0D2F4F"/>
              <w:right w:val="single" w:sz="6" w:color="FFFFFF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LEVEL</w:t>
            </w:r>
          </w:p>
        </w:tc>
        <w:tc>
          <w:tcPr>
            <w:tcW w:type="dxa" w:w="4824"/>
            <w:shd w:fill="0D2F4F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val="single" w:sz="6" w:color="0D2F4F"/>
              <w:left w:val="single" w:sz="6" w:color="FFFFFF"/>
              <w:bottom w:val="single" w:sz="6" w:color="0D2F4F"/>
              <w:right w:val="single" w:sz="6" w:color="FFFFFF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RATING CRITERION</w:t>
            </w:r>
          </w:p>
        </w:tc>
        <w:tc>
          <w:tcPr>
            <w:tcW w:type="dxa" w:w="2664"/>
            <w:shd w:fill="0D2F4F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val="single" w:sz="6" w:color="0D2F4F"/>
              <w:left w:val="single" w:sz="6" w:color="FFFFFF"/>
              <w:bottom w:val="single" w:sz="6" w:color="0D2F4F"/>
              <w:right w:val="single" w:sz="6" w:color="FFFFFF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EVIDENCE PROMPT</w:t>
            </w:r>
          </w:p>
        </w:tc>
      </w:tr>
      <w:tr>
        <w:trPr>
          <w:cantSplit/>
        </w:trPr>
        <w:tc>
          <w:tcPr>
            <w:tcW w:type="dxa" w:w="792"/>
            <w:shd w:fill="E63946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10</w:t>
            </w:r>
          </w:p>
        </w:tc>
        <w:tc>
          <w:tcPr>
            <w:tcW w:type="dxa" w:w="1987"/>
            <w:shd w:fill="FDEBED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/>
                <w:color w:val="182638"/>
                <w:sz w:val="16"/>
              </w:rPr>
              <w:t>Critical</w:t>
            </w:r>
          </w:p>
        </w:tc>
        <w:tc>
          <w:tcPr>
            <w:tcW w:type="dxa" w:w="4824"/>
            <w:shd w:fill="FDEBED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5"/>
              </w:rPr>
              <w:t>Potential life-threatening injury or uncontrolled hazardous vehicle response with little practical opportunity for mitigation.</w:t>
            </w:r>
          </w:p>
        </w:tc>
        <w:tc>
          <w:tcPr>
            <w:tcW w:type="dxa" w:w="2664"/>
            <w:shd w:fill="FDEBED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5"/>
              </w:rPr>
              <w:t>Hazard linkage; vehicle effect; safety-goal relevance.</w:t>
            </w:r>
          </w:p>
        </w:tc>
      </w:tr>
      <w:tr>
        <w:trPr>
          <w:cantSplit/>
        </w:trPr>
        <w:tc>
          <w:tcPr>
            <w:tcW w:type="dxa" w:w="792"/>
            <w:shd w:fill="E63946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9</w:t>
            </w:r>
          </w:p>
        </w:tc>
        <w:tc>
          <w:tcPr>
            <w:tcW w:type="dxa" w:w="1987"/>
            <w:shd w:fill="FDEBED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/>
                <w:color w:val="182638"/>
                <w:sz w:val="16"/>
              </w:rPr>
              <w:t>Severe</w:t>
            </w:r>
          </w:p>
        </w:tc>
        <w:tc>
          <w:tcPr>
            <w:tcW w:type="dxa" w:w="4824"/>
            <w:shd w:fill="FDEBED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5"/>
              </w:rPr>
              <w:t>Potential serious injury, loss of a safety-critical function, or major safety-related noncompliance.</w:t>
            </w:r>
          </w:p>
        </w:tc>
        <w:tc>
          <w:tcPr>
            <w:tcW w:type="dxa" w:w="2664"/>
            <w:shd w:fill="FDEBED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5"/>
              </w:rPr>
              <w:t>Safety analysis; compliance interface; warning assumptions.</w:t>
            </w:r>
          </w:p>
        </w:tc>
      </w:tr>
      <w:tr>
        <w:trPr>
          <w:cantSplit/>
        </w:trPr>
        <w:tc>
          <w:tcPr>
            <w:tcW w:type="dxa" w:w="792"/>
            <w:shd w:fill="F0803C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8</w:t>
            </w:r>
          </w:p>
        </w:tc>
        <w:tc>
          <w:tcPr>
            <w:tcW w:type="dxa" w:w="1987"/>
            <w:shd w:fill="FDE8D9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/>
                <w:color w:val="182638"/>
                <w:sz w:val="16"/>
              </w:rPr>
              <w:t>Primary loss</w:t>
            </w:r>
          </w:p>
        </w:tc>
        <w:tc>
          <w:tcPr>
            <w:tcW w:type="dxa" w:w="4824"/>
            <w:shd w:fill="FDE8D9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5"/>
              </w:rPr>
              <w:t>Primary function is lost, the product becomes inoperable, or immediate controlled shutdown is required.</w:t>
            </w:r>
          </w:p>
        </w:tc>
        <w:tc>
          <w:tcPr>
            <w:tcW w:type="dxa" w:w="2664"/>
            <w:shd w:fill="FDE8D9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5"/>
              </w:rPr>
              <w:t>Functional architecture; safe/degraded state.</w:t>
            </w:r>
          </w:p>
        </w:tc>
      </w:tr>
      <w:tr>
        <w:trPr>
          <w:cantSplit/>
        </w:trPr>
        <w:tc>
          <w:tcPr>
            <w:tcW w:type="dxa" w:w="792"/>
            <w:shd w:fill="F0803C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7</w:t>
            </w:r>
          </w:p>
        </w:tc>
        <w:tc>
          <w:tcPr>
            <w:tcW w:type="dxa" w:w="1987"/>
            <w:shd w:fill="FDE8D9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/>
                <w:color w:val="182638"/>
                <w:sz w:val="16"/>
              </w:rPr>
              <w:t>Major degradation</w:t>
            </w:r>
          </w:p>
        </w:tc>
        <w:tc>
          <w:tcPr>
            <w:tcW w:type="dxa" w:w="4824"/>
            <w:shd w:fill="FDE8D9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5"/>
              </w:rPr>
              <w:t>Major function is significantly degraded, continued use is restricted, or immediate service is required.</w:t>
            </w:r>
          </w:p>
        </w:tc>
        <w:tc>
          <w:tcPr>
            <w:tcW w:type="dxa" w:w="2664"/>
            <w:shd w:fill="FDE8D9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5"/>
              </w:rPr>
              <w:t>Vehicle/customer effect; operating limitation.</w:t>
            </w:r>
          </w:p>
        </w:tc>
      </w:tr>
      <w:tr>
        <w:trPr>
          <w:cantSplit/>
        </w:trPr>
        <w:tc>
          <w:tcPr>
            <w:tcW w:type="dxa" w:w="792"/>
            <w:shd w:fill="FFB000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6</w:t>
            </w:r>
          </w:p>
        </w:tc>
        <w:tc>
          <w:tcPr>
            <w:tcW w:type="dxa" w:w="1987"/>
            <w:shd w:fill="FFF4D6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/>
                <w:color w:val="182638"/>
                <w:sz w:val="16"/>
              </w:rPr>
              <w:t>Functional reduction</w:t>
            </w:r>
          </w:p>
        </w:tc>
        <w:tc>
          <w:tcPr>
            <w:tcW w:type="dxa" w:w="4824"/>
            <w:shd w:fill="FFF4D6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5"/>
              </w:rPr>
              <w:t>Subsystem remains available with a clear performance, availability, or operating-range reduction.</w:t>
            </w:r>
          </w:p>
        </w:tc>
        <w:tc>
          <w:tcPr>
            <w:tcW w:type="dxa" w:w="2664"/>
            <w:shd w:fill="FFF4D6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5"/>
              </w:rPr>
              <w:t>Measured boundary; requirement deviation.</w:t>
            </w:r>
          </w:p>
        </w:tc>
      </w:tr>
      <w:tr>
        <w:trPr>
          <w:cantSplit/>
        </w:trPr>
        <w:tc>
          <w:tcPr>
            <w:tcW w:type="dxa" w:w="792"/>
            <w:shd w:fill="FFB000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5</w:t>
            </w:r>
          </w:p>
        </w:tc>
        <w:tc>
          <w:tcPr>
            <w:tcW w:type="dxa" w:w="1987"/>
            <w:shd w:fill="FFF4D6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/>
                <w:color w:val="182638"/>
                <w:sz w:val="16"/>
              </w:rPr>
              <w:t>Customer disruption</w:t>
            </w:r>
          </w:p>
        </w:tc>
        <w:tc>
          <w:tcPr>
            <w:tcW w:type="dxa" w:w="4824"/>
            <w:shd w:fill="FFF4D6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5"/>
              </w:rPr>
              <w:t>Function remains available, but customer experiences a clear loss of performance, convenience, or confidence.</w:t>
            </w:r>
          </w:p>
        </w:tc>
        <w:tc>
          <w:tcPr>
            <w:tcW w:type="dxa" w:w="2664"/>
            <w:shd w:fill="FFF4D6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5"/>
              </w:rPr>
              <w:t>Customer-visible symptom; requirement comparison.</w:t>
            </w:r>
          </w:p>
        </w:tc>
      </w:tr>
      <w:tr>
        <w:trPr>
          <w:cantSplit/>
        </w:trPr>
        <w:tc>
          <w:tcPr>
            <w:tcW w:type="dxa" w:w="792"/>
            <w:shd w:fill="FFB000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4</w:t>
            </w:r>
          </w:p>
        </w:tc>
        <w:tc>
          <w:tcPr>
            <w:tcW w:type="dxa" w:w="1987"/>
            <w:shd w:fill="FFF4D6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/>
                <w:color w:val="182638"/>
                <w:sz w:val="16"/>
              </w:rPr>
              <w:t>Minor deviation</w:t>
            </w:r>
          </w:p>
        </w:tc>
        <w:tc>
          <w:tcPr>
            <w:tcW w:type="dxa" w:w="4824"/>
            <w:shd w:fill="FFF4D6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5"/>
              </w:rPr>
              <w:t>Limited performance deviation exists and a practical workaround is available without material risk.</w:t>
            </w:r>
          </w:p>
        </w:tc>
        <w:tc>
          <w:tcPr>
            <w:tcW w:type="dxa" w:w="2664"/>
            <w:shd w:fill="FFF4D6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5"/>
              </w:rPr>
              <w:t>Workaround; performance evidence.</w:t>
            </w:r>
          </w:p>
        </w:tc>
      </w:tr>
      <w:tr>
        <w:trPr>
          <w:cantSplit/>
        </w:trPr>
        <w:tc>
          <w:tcPr>
            <w:tcW w:type="dxa" w:w="792"/>
            <w:shd w:fill="2EC4B6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3</w:t>
            </w:r>
          </w:p>
        </w:tc>
        <w:tc>
          <w:tcPr>
            <w:tcW w:type="dxa" w:w="1987"/>
            <w:shd w:fill="DDF7F4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/>
                <w:color w:val="182638"/>
                <w:sz w:val="16"/>
              </w:rPr>
              <w:t>Nuisance</w:t>
            </w:r>
          </w:p>
        </w:tc>
        <w:tc>
          <w:tcPr>
            <w:tcW w:type="dxa" w:w="4824"/>
            <w:shd w:fill="DDF7F4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5"/>
              </w:rPr>
              <w:t>Effect is noticeable but does not meaningfully reduce the intended function.</w:t>
            </w:r>
          </w:p>
        </w:tc>
        <w:tc>
          <w:tcPr>
            <w:tcW w:type="dxa" w:w="2664"/>
            <w:shd w:fill="DDF7F4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5"/>
              </w:rPr>
              <w:t>Observable symptom; no-loss rationale.</w:t>
            </w:r>
          </w:p>
        </w:tc>
      </w:tr>
      <w:tr>
        <w:trPr>
          <w:cantSplit/>
        </w:trPr>
        <w:tc>
          <w:tcPr>
            <w:tcW w:type="dxa" w:w="792"/>
            <w:shd w:fill="2EC4B6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2</w:t>
            </w:r>
          </w:p>
        </w:tc>
        <w:tc>
          <w:tcPr>
            <w:tcW w:type="dxa" w:w="1987"/>
            <w:shd w:fill="DDF7F4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/>
                <w:color w:val="182638"/>
                <w:sz w:val="16"/>
              </w:rPr>
              <w:t>Trace effect</w:t>
            </w:r>
          </w:p>
        </w:tc>
        <w:tc>
          <w:tcPr>
            <w:tcW w:type="dxa" w:w="4824"/>
            <w:shd w:fill="DDF7F4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5"/>
              </w:rPr>
              <w:t>Effect is barely perceptible and does not change normal use.</w:t>
            </w:r>
          </w:p>
        </w:tc>
        <w:tc>
          <w:tcPr>
            <w:tcW w:type="dxa" w:w="2664"/>
            <w:shd w:fill="DDF7F4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5"/>
              </w:rPr>
              <w:t>Measurement or tolerance comparison.</w:t>
            </w:r>
          </w:p>
        </w:tc>
      </w:tr>
      <w:tr>
        <w:trPr>
          <w:cantSplit/>
        </w:trPr>
        <w:tc>
          <w:tcPr>
            <w:tcW w:type="dxa" w:w="792"/>
            <w:shd w:fill="2EC4B6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1</w:t>
            </w:r>
          </w:p>
        </w:tc>
        <w:tc>
          <w:tcPr>
            <w:tcW w:type="dxa" w:w="1987"/>
            <w:shd w:fill="DDF7F4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/>
                <w:color w:val="182638"/>
                <w:sz w:val="16"/>
              </w:rPr>
              <w:t>No meaningful effect</w:t>
            </w:r>
          </w:p>
        </w:tc>
        <w:tc>
          <w:tcPr>
            <w:tcW w:type="dxa" w:w="4824"/>
            <w:shd w:fill="DDF7F4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5"/>
              </w:rPr>
              <w:t>No credible customer, vehicle, manufacturing, or downstream functional effect is identified.</w:t>
            </w:r>
          </w:p>
        </w:tc>
        <w:tc>
          <w:tcPr>
            <w:tcW w:type="dxa" w:w="2664"/>
            <w:shd w:fill="DDF7F4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5"/>
              </w:rPr>
              <w:t>Containment or irrelevance analysis.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/>
          <w:color w:val="E63946"/>
          <w:sz w:val="17"/>
        </w:rPr>
        <w:t>Key rule:</w:t>
      </w:r>
      <w:r>
        <w:rPr>
          <w:rFonts w:ascii="Arial" w:hAnsi="Arial" w:eastAsia="Arial"/>
          <w:b w:val="0"/>
          <w:color w:val="182638"/>
          <w:sz w:val="17"/>
        </w:rPr>
        <w:t xml:space="preserve"> Severity follows the effect at the next level and vehicle/customer level—not the local component symptom and not the strength of the current control.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6"/>
        <w:gridCol w:w="9302"/>
      </w:tblGrid>
      <w:tr>
        <w:tc>
          <w:tcPr>
            <w:tcW w:type="dxa" w:w="5227"/>
            <w:shd w:fill="2EC4B6"/>
            <w:tcMar>
              <w:top w:w="130" w:type="dxa"/>
              <w:start w:w="120" w:type="dxa"/>
              <w:bottom w:w="13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07162E"/>
                <w:sz w:val="40"/>
              </w:rPr>
              <w:t>3</w:t>
            </w:r>
          </w:p>
        </w:tc>
        <w:tc>
          <w:tcPr>
            <w:tcW w:type="dxa" w:w="5227"/>
            <w:shd w:fill="0D2F4F"/>
            <w:tcMar>
              <w:top w:w="130" w:type="dxa"/>
              <w:start w:w="120" w:type="dxa"/>
              <w:bottom w:w="13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34"/>
              </w:rPr>
              <w:t>OCCURRENCE — RECURRENCE LENS</w:t>
            </w:r>
            <w:r>
              <w:rPr>
                <w:rFonts w:ascii="Arial" w:hAnsi="Arial" w:eastAsia="Arial"/>
                <w:b w:val="0"/>
                <w:color w:val="D7E4EC"/>
                <w:sz w:val="17"/>
              </w:rPr>
              <w:br/>
              <w:t>Rate the credibility of the cause using design, test, process, supplier, reliability, and field evidence.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792"/>
            <w:shd w:fill="0D2F4F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val="single" w:sz="6" w:color="0D2F4F"/>
              <w:left w:val="single" w:sz="6" w:color="FFFFFF"/>
              <w:bottom w:val="single" w:sz="6" w:color="0D2F4F"/>
              <w:right w:val="single" w:sz="6" w:color="FFFFFF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#</w:t>
            </w:r>
          </w:p>
        </w:tc>
        <w:tc>
          <w:tcPr>
            <w:tcW w:type="dxa" w:w="1987"/>
            <w:shd w:fill="0D2F4F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val="single" w:sz="6" w:color="0D2F4F"/>
              <w:left w:val="single" w:sz="6" w:color="FFFFFF"/>
              <w:bottom w:val="single" w:sz="6" w:color="0D2F4F"/>
              <w:right w:val="single" w:sz="6" w:color="FFFFFF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LEVEL</w:t>
            </w:r>
          </w:p>
        </w:tc>
        <w:tc>
          <w:tcPr>
            <w:tcW w:type="dxa" w:w="4824"/>
            <w:shd w:fill="0D2F4F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val="single" w:sz="6" w:color="0D2F4F"/>
              <w:left w:val="single" w:sz="6" w:color="FFFFFF"/>
              <w:bottom w:val="single" w:sz="6" w:color="0D2F4F"/>
              <w:right w:val="single" w:sz="6" w:color="FFFFFF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RATING CRITERION</w:t>
            </w:r>
          </w:p>
        </w:tc>
        <w:tc>
          <w:tcPr>
            <w:tcW w:type="dxa" w:w="2664"/>
            <w:shd w:fill="0D2F4F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val="single" w:sz="6" w:color="0D2F4F"/>
              <w:left w:val="single" w:sz="6" w:color="FFFFFF"/>
              <w:bottom w:val="single" w:sz="6" w:color="0D2F4F"/>
              <w:right w:val="single" w:sz="6" w:color="FFFFFF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EVIDENCE PROMPT</w:t>
            </w:r>
          </w:p>
        </w:tc>
      </w:tr>
      <w:tr>
        <w:trPr>
          <w:cantSplit/>
        </w:trPr>
        <w:tc>
          <w:tcPr>
            <w:tcW w:type="dxa" w:w="792"/>
            <w:shd w:fill="E63946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10</w:t>
            </w:r>
          </w:p>
        </w:tc>
        <w:tc>
          <w:tcPr>
            <w:tcW w:type="dxa" w:w="1987"/>
            <w:shd w:fill="FDEBED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/>
                <w:color w:val="182638"/>
                <w:sz w:val="16"/>
              </w:rPr>
              <w:t>Persistent</w:t>
            </w:r>
          </w:p>
        </w:tc>
        <w:tc>
          <w:tcPr>
            <w:tcW w:type="dxa" w:w="4824"/>
            <w:shd w:fill="FDEBED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5"/>
              </w:rPr>
              <w:t>Cause is active in normal conditions and the failure is routinely reproduced.</w:t>
            </w:r>
          </w:p>
        </w:tc>
        <w:tc>
          <w:tcPr>
            <w:tcW w:type="dxa" w:w="2664"/>
            <w:shd w:fill="FDEBED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5"/>
              </w:rPr>
              <w:t>Repeated normal-condition test or field evidence.</w:t>
            </w:r>
          </w:p>
        </w:tc>
      </w:tr>
      <w:tr>
        <w:trPr>
          <w:cantSplit/>
        </w:trPr>
        <w:tc>
          <w:tcPr>
            <w:tcW w:type="dxa" w:w="792"/>
            <w:shd w:fill="E63946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9</w:t>
            </w:r>
          </w:p>
        </w:tc>
        <w:tc>
          <w:tcPr>
            <w:tcW w:type="dxa" w:w="1987"/>
            <w:shd w:fill="FDEBED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/>
                <w:color w:val="182638"/>
                <w:sz w:val="16"/>
              </w:rPr>
              <w:t>Very frequent</w:t>
            </w:r>
          </w:p>
        </w:tc>
        <w:tc>
          <w:tcPr>
            <w:tcW w:type="dxa" w:w="4824"/>
            <w:shd w:fill="FDEBED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5"/>
              </w:rPr>
              <w:t>Cause is commonly encountered and requires little combination of conditions.</w:t>
            </w:r>
          </w:p>
        </w:tc>
        <w:tc>
          <w:tcPr>
            <w:tcW w:type="dxa" w:w="2664"/>
            <w:shd w:fill="FDEBED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5"/>
              </w:rPr>
              <w:t>High-frequency data; weak margin; dominant mechanism.</w:t>
            </w:r>
          </w:p>
        </w:tc>
      </w:tr>
      <w:tr>
        <w:trPr>
          <w:cantSplit/>
        </w:trPr>
        <w:tc>
          <w:tcPr>
            <w:tcW w:type="dxa" w:w="792"/>
            <w:shd w:fill="F0803C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8</w:t>
            </w:r>
          </w:p>
        </w:tc>
        <w:tc>
          <w:tcPr>
            <w:tcW w:type="dxa" w:w="1987"/>
            <w:shd w:fill="FDE8D9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/>
                <w:color w:val="182638"/>
                <w:sz w:val="16"/>
              </w:rPr>
              <w:t>Recurrent</w:t>
            </w:r>
          </w:p>
        </w:tc>
        <w:tc>
          <w:tcPr>
            <w:tcW w:type="dxa" w:w="4824"/>
            <w:shd w:fill="FDE8D9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5"/>
              </w:rPr>
              <w:t>Failure repeats across builds, units, environments, or operating cycles.</w:t>
            </w:r>
          </w:p>
        </w:tc>
        <w:tc>
          <w:tcPr>
            <w:tcW w:type="dxa" w:w="2664"/>
            <w:shd w:fill="FDE8D9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5"/>
              </w:rPr>
              <w:t>Multi-unit reproduction; confirmed cause.</w:t>
            </w:r>
          </w:p>
        </w:tc>
      </w:tr>
      <w:tr>
        <w:trPr>
          <w:cantSplit/>
        </w:trPr>
        <w:tc>
          <w:tcPr>
            <w:tcW w:type="dxa" w:w="792"/>
            <w:shd w:fill="F0803C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7</w:t>
            </w:r>
          </w:p>
        </w:tc>
        <w:tc>
          <w:tcPr>
            <w:tcW w:type="dxa" w:w="1987"/>
            <w:shd w:fill="FDE8D9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/>
                <w:color w:val="182638"/>
                <w:sz w:val="16"/>
              </w:rPr>
              <w:t>Frequent</w:t>
            </w:r>
          </w:p>
        </w:tc>
        <w:tc>
          <w:tcPr>
            <w:tcW w:type="dxa" w:w="4824"/>
            <w:shd w:fill="FDE8D9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5"/>
              </w:rPr>
              <w:t>Failure occurs in a defined but regularly encountered operating scenario.</w:t>
            </w:r>
          </w:p>
        </w:tc>
        <w:tc>
          <w:tcPr>
            <w:tcW w:type="dxa" w:w="2664"/>
            <w:shd w:fill="FDE8D9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5"/>
              </w:rPr>
              <w:t>Scenario exposure; reproduced mechanism.</w:t>
            </w:r>
          </w:p>
        </w:tc>
      </w:tr>
      <w:tr>
        <w:trPr>
          <w:cantSplit/>
        </w:trPr>
        <w:tc>
          <w:tcPr>
            <w:tcW w:type="dxa" w:w="792"/>
            <w:shd w:fill="FFB000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6</w:t>
            </w:r>
          </w:p>
        </w:tc>
        <w:tc>
          <w:tcPr>
            <w:tcW w:type="dxa" w:w="1987"/>
            <w:shd w:fill="FFF4D6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/>
                <w:color w:val="182638"/>
                <w:sz w:val="16"/>
              </w:rPr>
              <w:t>Occasional</w:t>
            </w:r>
          </w:p>
        </w:tc>
        <w:tc>
          <w:tcPr>
            <w:tcW w:type="dxa" w:w="4824"/>
            <w:shd w:fill="FFF4D6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5"/>
              </w:rPr>
              <w:t>A credible cause has appeared in test, production, supplier, or field evidence.</w:t>
            </w:r>
          </w:p>
        </w:tc>
        <w:tc>
          <w:tcPr>
            <w:tcW w:type="dxa" w:w="2664"/>
            <w:shd w:fill="FFF4D6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5"/>
              </w:rPr>
              <w:t>Documented events; relevant configuration.</w:t>
            </w:r>
          </w:p>
        </w:tc>
      </w:tr>
      <w:tr>
        <w:trPr>
          <w:cantSplit/>
        </w:trPr>
        <w:tc>
          <w:tcPr>
            <w:tcW w:type="dxa" w:w="792"/>
            <w:shd w:fill="FFB000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5</w:t>
            </w:r>
          </w:p>
        </w:tc>
        <w:tc>
          <w:tcPr>
            <w:tcW w:type="dxa" w:w="1987"/>
            <w:shd w:fill="FFF4D6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/>
                <w:color w:val="182638"/>
                <w:sz w:val="16"/>
              </w:rPr>
              <w:t>Intermittent</w:t>
            </w:r>
          </w:p>
        </w:tc>
        <w:tc>
          <w:tcPr>
            <w:tcW w:type="dxa" w:w="4824"/>
            <w:shd w:fill="FFF4D6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5"/>
              </w:rPr>
              <w:t>Cause is credible but requires a limited combination of conditions or has sparse evidence.</w:t>
            </w:r>
          </w:p>
        </w:tc>
        <w:tc>
          <w:tcPr>
            <w:tcW w:type="dxa" w:w="2664"/>
            <w:shd w:fill="FFF4D6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5"/>
              </w:rPr>
              <w:t>Boundary test; early-life data; mechanism analysis.</w:t>
            </w:r>
          </w:p>
        </w:tc>
      </w:tr>
      <w:tr>
        <w:trPr>
          <w:cantSplit/>
        </w:trPr>
        <w:tc>
          <w:tcPr>
            <w:tcW w:type="dxa" w:w="792"/>
            <w:shd w:fill="FFB000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4</w:t>
            </w:r>
          </w:p>
        </w:tc>
        <w:tc>
          <w:tcPr>
            <w:tcW w:type="dxa" w:w="1987"/>
            <w:shd w:fill="FFF4D6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/>
                <w:color w:val="182638"/>
                <w:sz w:val="16"/>
              </w:rPr>
              <w:t>Infrequent</w:t>
            </w:r>
          </w:p>
        </w:tc>
        <w:tc>
          <w:tcPr>
            <w:tcW w:type="dxa" w:w="4824"/>
            <w:shd w:fill="FFF4D6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5"/>
              </w:rPr>
              <w:t>Cause requires multiple contributing conditions or is strongly reduced by design/process margin.</w:t>
            </w:r>
          </w:p>
        </w:tc>
        <w:tc>
          <w:tcPr>
            <w:tcW w:type="dxa" w:w="2664"/>
            <w:shd w:fill="FFF4D6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5"/>
              </w:rPr>
              <w:t>Margin analysis; process capability.</w:t>
            </w:r>
          </w:p>
        </w:tc>
      </w:tr>
      <w:tr>
        <w:trPr>
          <w:cantSplit/>
        </w:trPr>
        <w:tc>
          <w:tcPr>
            <w:tcW w:type="dxa" w:w="792"/>
            <w:shd w:fill="2EC4B6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3</w:t>
            </w:r>
          </w:p>
        </w:tc>
        <w:tc>
          <w:tcPr>
            <w:tcW w:type="dxa" w:w="1987"/>
            <w:shd w:fill="DDF7F4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/>
                <w:color w:val="182638"/>
                <w:sz w:val="16"/>
              </w:rPr>
              <w:t>Rare</w:t>
            </w:r>
          </w:p>
        </w:tc>
        <w:tc>
          <w:tcPr>
            <w:tcW w:type="dxa" w:w="4824"/>
            <w:shd w:fill="DDF7F4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5"/>
              </w:rPr>
              <w:t>Cause is physically credible only near unusual or extreme conditions.</w:t>
            </w:r>
          </w:p>
        </w:tc>
        <w:tc>
          <w:tcPr>
            <w:tcW w:type="dxa" w:w="2664"/>
            <w:shd w:fill="DDF7F4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5"/>
              </w:rPr>
              <w:t>Stress analysis; rare-condition exposure.</w:t>
            </w:r>
          </w:p>
        </w:tc>
      </w:tr>
      <w:tr>
        <w:trPr>
          <w:cantSplit/>
        </w:trPr>
        <w:tc>
          <w:tcPr>
            <w:tcW w:type="dxa" w:w="792"/>
            <w:shd w:fill="2EC4B6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2</w:t>
            </w:r>
          </w:p>
        </w:tc>
        <w:tc>
          <w:tcPr>
            <w:tcW w:type="dxa" w:w="1987"/>
            <w:shd w:fill="DDF7F4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/>
                <w:color w:val="182638"/>
                <w:sz w:val="16"/>
              </w:rPr>
              <w:t>Highly unlikely</w:t>
            </w:r>
          </w:p>
        </w:tc>
        <w:tc>
          <w:tcPr>
            <w:tcW w:type="dxa" w:w="4824"/>
            <w:shd w:fill="DDF7F4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5"/>
              </w:rPr>
              <w:t>Mechanism is difficult to realize within the validated operating envelope.</w:t>
            </w:r>
          </w:p>
        </w:tc>
        <w:tc>
          <w:tcPr>
            <w:tcW w:type="dxa" w:w="2664"/>
            <w:shd w:fill="DDF7F4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5"/>
              </w:rPr>
              <w:t>Robust margin; no observed events.</w:t>
            </w:r>
          </w:p>
        </w:tc>
      </w:tr>
      <w:tr>
        <w:trPr>
          <w:cantSplit/>
        </w:trPr>
        <w:tc>
          <w:tcPr>
            <w:tcW w:type="dxa" w:w="792"/>
            <w:shd w:fill="2EC4B6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1</w:t>
            </w:r>
          </w:p>
        </w:tc>
        <w:tc>
          <w:tcPr>
            <w:tcW w:type="dxa" w:w="1987"/>
            <w:shd w:fill="DDF7F4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/>
                <w:color w:val="182638"/>
                <w:sz w:val="16"/>
              </w:rPr>
              <w:t>Remote</w:t>
            </w:r>
          </w:p>
        </w:tc>
        <w:tc>
          <w:tcPr>
            <w:tcW w:type="dxa" w:w="4824"/>
            <w:shd w:fill="DDF7F4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5"/>
              </w:rPr>
              <w:t>No credible cause remains after design review, analysis, and representative validation.</w:t>
            </w:r>
          </w:p>
        </w:tc>
        <w:tc>
          <w:tcPr>
            <w:tcW w:type="dxa" w:w="2664"/>
            <w:shd w:fill="DDF7F4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5"/>
              </w:rPr>
              <w:t>Documented prevention evidence.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/>
          <w:color w:val="8A5C00"/>
          <w:sz w:val="17"/>
        </w:rPr>
        <w:t>Key rule:</w:t>
      </w:r>
      <w:r>
        <w:rPr>
          <w:rFonts w:ascii="Arial" w:hAnsi="Arial" w:eastAsia="Arial"/>
          <w:b w:val="0"/>
          <w:color w:val="182638"/>
          <w:sz w:val="17"/>
        </w:rPr>
        <w:t xml:space="preserve"> Do not transfer an occurrence score from a generic component reputation. Score the cause in the actual architecture, stress envelope, process, and configuration.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6"/>
        <w:gridCol w:w="9302"/>
      </w:tblGrid>
      <w:tr>
        <w:tc>
          <w:tcPr>
            <w:tcW w:type="dxa" w:w="5227"/>
            <w:shd w:fill="2EC4B6"/>
            <w:tcMar>
              <w:top w:w="130" w:type="dxa"/>
              <w:start w:w="120" w:type="dxa"/>
              <w:bottom w:w="13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07162E"/>
                <w:sz w:val="40"/>
              </w:rPr>
              <w:t>4</w:t>
            </w:r>
          </w:p>
        </w:tc>
        <w:tc>
          <w:tcPr>
            <w:tcW w:type="dxa" w:w="5227"/>
            <w:shd w:fill="0D2F4F"/>
            <w:tcMar>
              <w:top w:w="130" w:type="dxa"/>
              <w:start w:w="120" w:type="dxa"/>
              <w:bottom w:w="13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34"/>
              </w:rPr>
              <w:t>DETECTION — CONTROL-CONFIDENCE LENS</w:t>
            </w:r>
            <w:r>
              <w:rPr>
                <w:rFonts w:ascii="Arial" w:hAnsi="Arial" w:eastAsia="Arial"/>
                <w:b w:val="0"/>
                <w:color w:val="D7E4EC"/>
                <w:sz w:val="17"/>
              </w:rPr>
              <w:br/>
              <w:t>Credit only controls with a defined fault population, operating range, timing, reaction, and verification evidence.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792"/>
            <w:shd w:fill="0D2F4F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val="single" w:sz="6" w:color="0D2F4F"/>
              <w:left w:val="single" w:sz="6" w:color="FFFFFF"/>
              <w:bottom w:val="single" w:sz="6" w:color="0D2F4F"/>
              <w:right w:val="single" w:sz="6" w:color="FFFFFF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#</w:t>
            </w:r>
          </w:p>
        </w:tc>
        <w:tc>
          <w:tcPr>
            <w:tcW w:type="dxa" w:w="1987"/>
            <w:shd w:fill="0D2F4F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val="single" w:sz="6" w:color="0D2F4F"/>
              <w:left w:val="single" w:sz="6" w:color="FFFFFF"/>
              <w:bottom w:val="single" w:sz="6" w:color="0D2F4F"/>
              <w:right w:val="single" w:sz="6" w:color="FFFFFF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LEVEL</w:t>
            </w:r>
          </w:p>
        </w:tc>
        <w:tc>
          <w:tcPr>
            <w:tcW w:type="dxa" w:w="4824"/>
            <w:shd w:fill="0D2F4F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val="single" w:sz="6" w:color="0D2F4F"/>
              <w:left w:val="single" w:sz="6" w:color="FFFFFF"/>
              <w:bottom w:val="single" w:sz="6" w:color="0D2F4F"/>
              <w:right w:val="single" w:sz="6" w:color="FFFFFF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RATING CRITERION</w:t>
            </w:r>
          </w:p>
        </w:tc>
        <w:tc>
          <w:tcPr>
            <w:tcW w:type="dxa" w:w="2664"/>
            <w:shd w:fill="0D2F4F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val="single" w:sz="6" w:color="0D2F4F"/>
              <w:left w:val="single" w:sz="6" w:color="FFFFFF"/>
              <w:bottom w:val="single" w:sz="6" w:color="0D2F4F"/>
              <w:right w:val="single" w:sz="6" w:color="FFFFFF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EVIDENCE PROMPT</w:t>
            </w:r>
          </w:p>
        </w:tc>
      </w:tr>
      <w:tr>
        <w:trPr>
          <w:cantSplit/>
        </w:trPr>
        <w:tc>
          <w:tcPr>
            <w:tcW w:type="dxa" w:w="792"/>
            <w:shd w:fill="E63946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10</w:t>
            </w:r>
          </w:p>
        </w:tc>
        <w:tc>
          <w:tcPr>
            <w:tcW w:type="dxa" w:w="1987"/>
            <w:shd w:fill="FDEBED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/>
                <w:color w:val="182638"/>
                <w:sz w:val="16"/>
              </w:rPr>
              <w:t>No control</w:t>
            </w:r>
          </w:p>
        </w:tc>
        <w:tc>
          <w:tcPr>
            <w:tcW w:type="dxa" w:w="4824"/>
            <w:shd w:fill="FDEBED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5"/>
              </w:rPr>
              <w:t>No prevention or detection control exists before exposure.</w:t>
            </w:r>
          </w:p>
        </w:tc>
        <w:tc>
          <w:tcPr>
            <w:tcW w:type="dxa" w:w="2664"/>
            <w:shd w:fill="FDEBED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5"/>
              </w:rPr>
              <w:t>Explicit control gap.</w:t>
            </w:r>
          </w:p>
        </w:tc>
      </w:tr>
      <w:tr>
        <w:trPr>
          <w:cantSplit/>
        </w:trPr>
        <w:tc>
          <w:tcPr>
            <w:tcW w:type="dxa" w:w="792"/>
            <w:shd w:fill="E63946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9</w:t>
            </w:r>
          </w:p>
        </w:tc>
        <w:tc>
          <w:tcPr>
            <w:tcW w:type="dxa" w:w="1987"/>
            <w:shd w:fill="FDEBED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/>
                <w:color w:val="182638"/>
                <w:sz w:val="16"/>
              </w:rPr>
              <w:t>Field-only</w:t>
            </w:r>
          </w:p>
        </w:tc>
        <w:tc>
          <w:tcPr>
            <w:tcW w:type="dxa" w:w="4824"/>
            <w:shd w:fill="FDEBED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5"/>
              </w:rPr>
              <w:t>Issue is most likely discovered through complaint, field failure, or teardown.</w:t>
            </w:r>
          </w:p>
        </w:tc>
        <w:tc>
          <w:tcPr>
            <w:tcW w:type="dxa" w:w="2664"/>
            <w:shd w:fill="FDEBED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5"/>
              </w:rPr>
              <w:t>Field-detection path only.</w:t>
            </w:r>
          </w:p>
        </w:tc>
      </w:tr>
      <w:tr>
        <w:trPr>
          <w:cantSplit/>
        </w:trPr>
        <w:tc>
          <w:tcPr>
            <w:tcW w:type="dxa" w:w="792"/>
            <w:shd w:fill="F0803C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8</w:t>
            </w:r>
          </w:p>
        </w:tc>
        <w:tc>
          <w:tcPr>
            <w:tcW w:type="dxa" w:w="1987"/>
            <w:shd w:fill="FDE8D9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/>
                <w:color w:val="182638"/>
                <w:sz w:val="16"/>
              </w:rPr>
              <w:t>Weak sampling</w:t>
            </w:r>
          </w:p>
        </w:tc>
        <w:tc>
          <w:tcPr>
            <w:tcW w:type="dxa" w:w="4824"/>
            <w:shd w:fill="FDE8D9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5"/>
              </w:rPr>
              <w:t>Sampling or limited inspection may detect the issue, but escape probability remains high.</w:t>
            </w:r>
          </w:p>
        </w:tc>
        <w:tc>
          <w:tcPr>
            <w:tcW w:type="dxa" w:w="2664"/>
            <w:shd w:fill="FDE8D9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5"/>
              </w:rPr>
              <w:t>Sampling plan; blind spots.</w:t>
            </w:r>
          </w:p>
        </w:tc>
      </w:tr>
      <w:tr>
        <w:trPr>
          <w:cantSplit/>
        </w:trPr>
        <w:tc>
          <w:tcPr>
            <w:tcW w:type="dxa" w:w="792"/>
            <w:shd w:fill="F0803C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7</w:t>
            </w:r>
          </w:p>
        </w:tc>
        <w:tc>
          <w:tcPr>
            <w:tcW w:type="dxa" w:w="1987"/>
            <w:shd w:fill="FDE8D9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/>
                <w:color w:val="182638"/>
                <w:sz w:val="16"/>
              </w:rPr>
              <w:t>Manual dependency</w:t>
            </w:r>
          </w:p>
        </w:tc>
        <w:tc>
          <w:tcPr>
            <w:tcW w:type="dxa" w:w="4824"/>
            <w:shd w:fill="FDE8D9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5"/>
              </w:rPr>
              <w:t>Detection depends heavily on operator judgment, visual inspection, setup, or exact conditions.</w:t>
            </w:r>
          </w:p>
        </w:tc>
        <w:tc>
          <w:tcPr>
            <w:tcW w:type="dxa" w:w="2664"/>
            <w:shd w:fill="FDE8D9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5"/>
              </w:rPr>
              <w:t>Work instruction; human-factor limitation.</w:t>
            </w:r>
          </w:p>
        </w:tc>
      </w:tr>
      <w:tr>
        <w:trPr>
          <w:cantSplit/>
        </w:trPr>
        <w:tc>
          <w:tcPr>
            <w:tcW w:type="dxa" w:w="792"/>
            <w:shd w:fill="FFB000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6</w:t>
            </w:r>
          </w:p>
        </w:tc>
        <w:tc>
          <w:tcPr>
            <w:tcW w:type="dxa" w:w="1987"/>
            <w:shd w:fill="FFF4D6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/>
                <w:color w:val="182638"/>
                <w:sz w:val="16"/>
              </w:rPr>
              <w:t>Partial automated</w:t>
            </w:r>
          </w:p>
        </w:tc>
        <w:tc>
          <w:tcPr>
            <w:tcW w:type="dxa" w:w="4824"/>
            <w:shd w:fill="FFF4D6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5"/>
              </w:rPr>
              <w:t>Automated control exists but does not cover the complete fault population or operating range.</w:t>
            </w:r>
          </w:p>
        </w:tc>
        <w:tc>
          <w:tcPr>
            <w:tcW w:type="dxa" w:w="2664"/>
            <w:shd w:fill="FFF4D6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5"/>
              </w:rPr>
              <w:t>Coverage gaps; test limits; missed faults.</w:t>
            </w:r>
          </w:p>
        </w:tc>
      </w:tr>
      <w:tr>
        <w:trPr>
          <w:cantSplit/>
        </w:trPr>
        <w:tc>
          <w:tcPr>
            <w:tcW w:type="dxa" w:w="792"/>
            <w:shd w:fill="FFB000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5</w:t>
            </w:r>
          </w:p>
        </w:tc>
        <w:tc>
          <w:tcPr>
            <w:tcW w:type="dxa" w:w="1987"/>
            <w:shd w:fill="FFF4D6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/>
                <w:color w:val="182638"/>
                <w:sz w:val="16"/>
              </w:rPr>
              <w:t>Moderate control</w:t>
            </w:r>
          </w:p>
        </w:tc>
        <w:tc>
          <w:tcPr>
            <w:tcW w:type="dxa" w:w="4824"/>
            <w:shd w:fill="FFF4D6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5"/>
              </w:rPr>
              <w:t>Controls detect many cases, but boundary, timing, or latent-fault gaps remain material.</w:t>
            </w:r>
          </w:p>
        </w:tc>
        <w:tc>
          <w:tcPr>
            <w:tcW w:type="dxa" w:w="2664"/>
            <w:shd w:fill="FFF4D6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5"/>
              </w:rPr>
              <w:t>Test evidence; residual escape conditions.</w:t>
            </w:r>
          </w:p>
        </w:tc>
      </w:tr>
      <w:tr>
        <w:trPr>
          <w:cantSplit/>
        </w:trPr>
        <w:tc>
          <w:tcPr>
            <w:tcW w:type="dxa" w:w="792"/>
            <w:shd w:fill="FFB000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4</w:t>
            </w:r>
          </w:p>
        </w:tc>
        <w:tc>
          <w:tcPr>
            <w:tcW w:type="dxa" w:w="1987"/>
            <w:shd w:fill="FFF4D6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/>
                <w:color w:val="182638"/>
                <w:sz w:val="16"/>
              </w:rPr>
              <w:t>Robust detection</w:t>
            </w:r>
          </w:p>
        </w:tc>
        <w:tc>
          <w:tcPr>
            <w:tcW w:type="dxa" w:w="4824"/>
            <w:shd w:fill="FFF4D6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5"/>
              </w:rPr>
              <w:t>Automated detection is repeatable, limits are controlled, and reaction is defined.</w:t>
            </w:r>
          </w:p>
        </w:tc>
        <w:tc>
          <w:tcPr>
            <w:tcW w:type="dxa" w:w="2664"/>
            <w:shd w:fill="FFF4D6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5"/>
              </w:rPr>
              <w:t>Capability; calibration; thresholds; reaction.</w:t>
            </w:r>
          </w:p>
        </w:tc>
      </w:tr>
      <w:tr>
        <w:trPr>
          <w:cantSplit/>
        </w:trPr>
        <w:tc>
          <w:tcPr>
            <w:tcW w:type="dxa" w:w="792"/>
            <w:shd w:fill="2EC4B6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3</w:t>
            </w:r>
          </w:p>
        </w:tc>
        <w:tc>
          <w:tcPr>
            <w:tcW w:type="dxa" w:w="1987"/>
            <w:shd w:fill="DDF7F4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/>
                <w:color w:val="182638"/>
                <w:sz w:val="16"/>
              </w:rPr>
              <w:t>Independent detection</w:t>
            </w:r>
          </w:p>
        </w:tc>
        <w:tc>
          <w:tcPr>
            <w:tcW w:type="dxa" w:w="4824"/>
            <w:shd w:fill="DDF7F4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5"/>
              </w:rPr>
              <w:t>Functionally independent monitor detects the fault within required time and controls the reaction.</w:t>
            </w:r>
          </w:p>
        </w:tc>
        <w:tc>
          <w:tcPr>
            <w:tcW w:type="dxa" w:w="2664"/>
            <w:shd w:fill="DDF7F4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5"/>
              </w:rPr>
              <w:t>Independence; timing capture; fault injection.</w:t>
            </w:r>
          </w:p>
        </w:tc>
      </w:tr>
      <w:tr>
        <w:trPr>
          <w:cantSplit/>
        </w:trPr>
        <w:tc>
          <w:tcPr>
            <w:tcW w:type="dxa" w:w="792"/>
            <w:shd w:fill="2EC4B6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2</w:t>
            </w:r>
          </w:p>
        </w:tc>
        <w:tc>
          <w:tcPr>
            <w:tcW w:type="dxa" w:w="1987"/>
            <w:shd w:fill="DDF7F4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/>
                <w:color w:val="182638"/>
                <w:sz w:val="16"/>
              </w:rPr>
              <w:t>Multi-layer control</w:t>
            </w:r>
          </w:p>
        </w:tc>
        <w:tc>
          <w:tcPr>
            <w:tcW w:type="dxa" w:w="4824"/>
            <w:shd w:fill="DDF7F4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5"/>
              </w:rPr>
              <w:t>Independent prevention and detection layers cover the fault with periodic proof or self-test.</w:t>
            </w:r>
          </w:p>
        </w:tc>
        <w:tc>
          <w:tcPr>
            <w:tcW w:type="dxa" w:w="2664"/>
            <w:shd w:fill="DDF7F4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5"/>
              </w:rPr>
              <w:t>Layered coverage; proof-test interval; dependency review.</w:t>
            </w:r>
          </w:p>
        </w:tc>
      </w:tr>
      <w:tr>
        <w:trPr>
          <w:cantSplit/>
        </w:trPr>
        <w:tc>
          <w:tcPr>
            <w:tcW w:type="dxa" w:w="792"/>
            <w:shd w:fill="2EC4B6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1</w:t>
            </w:r>
          </w:p>
        </w:tc>
        <w:tc>
          <w:tcPr>
            <w:tcW w:type="dxa" w:w="1987"/>
            <w:shd w:fill="DDF7F4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/>
                <w:color w:val="182638"/>
                <w:sz w:val="16"/>
              </w:rPr>
              <w:t>Prevention / near-certain</w:t>
            </w:r>
          </w:p>
        </w:tc>
        <w:tc>
          <w:tcPr>
            <w:tcW w:type="dxa" w:w="4824"/>
            <w:shd w:fill="DDF7F4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5"/>
              </w:rPr>
              <w:t>Cause is prevented by design or detected automatically with validated near-complete coverage and controlled reaction.</w:t>
            </w:r>
          </w:p>
        </w:tc>
        <w:tc>
          <w:tcPr>
            <w:tcW w:type="dxa" w:w="2664"/>
            <w:shd w:fill="DDF7F4"/>
            <w:vAlign w:val="center"/>
            <w:tcMar>
              <w:top w:w="63" w:type="dxa"/>
              <w:start w:w="78" w:type="dxa"/>
              <w:bottom w:w="63" w:type="dxa"/>
              <w:end w:w="78" w:type="dxa"/>
            </w:tcMar>
            <w:tcBorders>
              <w:top w:val="single" w:sz="3" w:color="CCD8E2"/>
              <w:left w:val="single" w:sz="3" w:color="CCD8E2"/>
              <w:bottom w:val="single" w:sz="3" w:color="CCD8E2"/>
              <w:right w:val="single" w:sz="3" w:color="CCD8E2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5"/>
              </w:rPr>
              <w:t>Prevention; validated coverage; configuration control.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/>
          <w:color w:val="11655D"/>
          <w:sz w:val="17"/>
        </w:rPr>
        <w:t>Key rule:</w:t>
      </w:r>
      <w:r>
        <w:rPr>
          <w:rFonts w:ascii="Arial" w:hAnsi="Arial" w:eastAsia="Arial"/>
          <w:b w:val="0"/>
          <w:color w:val="182638"/>
          <w:sz w:val="17"/>
        </w:rPr>
        <w:t xml:space="preserve"> “Diagnostics exist” is not evidence. Record what faults are covered, what remains, when detection occurs, and how the system reacts.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6"/>
        <w:gridCol w:w="9302"/>
      </w:tblGrid>
      <w:tr>
        <w:tc>
          <w:tcPr>
            <w:tcW w:type="dxa" w:w="5227"/>
            <w:shd w:fill="2EC4B6"/>
            <w:tcMar>
              <w:top w:w="130" w:type="dxa"/>
              <w:start w:w="120" w:type="dxa"/>
              <w:bottom w:w="13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07162E"/>
                <w:sz w:val="40"/>
              </w:rPr>
              <w:t>5</w:t>
            </w:r>
          </w:p>
        </w:tc>
        <w:tc>
          <w:tcPr>
            <w:tcW w:type="dxa" w:w="5227"/>
            <w:shd w:fill="0D2F4F"/>
            <w:tcMar>
              <w:top w:w="130" w:type="dxa"/>
              <w:start w:w="120" w:type="dxa"/>
              <w:bottom w:w="13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34"/>
              </w:rPr>
              <w:t>WORKED AUTOMOTIVE ELECTRONICS EXAMPLE</w:t>
            </w:r>
            <w:r>
              <w:rPr>
                <w:rFonts w:ascii="Arial" w:hAnsi="Arial" w:eastAsia="Arial"/>
                <w:b w:val="0"/>
                <w:color w:val="D7E4EC"/>
                <w:sz w:val="17"/>
              </w:rPr>
              <w:br/>
              <w:t>Inverter gate-driver shutdown path — from initial escalation to verified residual control.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016"/>
            <w:shd w:fill="0D2F4F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FUNCTION</w:t>
            </w:r>
          </w:p>
        </w:tc>
        <w:tc>
          <w:tcPr>
            <w:tcW w:type="dxa" w:w="8064"/>
            <w:shd w:fill="F7FAF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82638"/>
                <w:sz w:val="18"/>
              </w:rPr>
              <w:t>Inverter gate-driver shutdown path</w:t>
            </w:r>
          </w:p>
        </w:tc>
      </w:tr>
      <w:tr>
        <w:tc>
          <w:tcPr>
            <w:tcW w:type="dxa" w:w="2016"/>
            <w:shd w:fill="0D2F4F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FAILURE MODE</w:t>
            </w:r>
          </w:p>
        </w:tc>
        <w:tc>
          <w:tcPr>
            <w:tcW w:type="dxa" w:w="8064"/>
            <w:shd w:fill="F7FAF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82638"/>
                <w:sz w:val="18"/>
              </w:rPr>
              <w:t>Shutdown command cannot disable one power stage</w:t>
            </w:r>
          </w:p>
        </w:tc>
      </w:tr>
      <w:tr>
        <w:tc>
          <w:tcPr>
            <w:tcW w:type="dxa" w:w="2016"/>
            <w:shd w:fill="0D2F4F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CAUSE</w:t>
            </w:r>
          </w:p>
        </w:tc>
        <w:tc>
          <w:tcPr>
            <w:tcW w:type="dxa" w:w="8064"/>
            <w:shd w:fill="F7FAF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82638"/>
                <w:sz w:val="18"/>
              </w:rPr>
              <w:t>Shared enable path remains active following a component short</w:t>
            </w:r>
          </w:p>
        </w:tc>
      </w:tr>
      <w:tr>
        <w:tc>
          <w:tcPr>
            <w:tcW w:type="dxa" w:w="2016"/>
            <w:shd w:fill="0D2F4F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VEHICLE EFFECT</w:t>
            </w:r>
          </w:p>
        </w:tc>
        <w:tc>
          <w:tcPr>
            <w:tcW w:type="dxa" w:w="8064"/>
            <w:shd w:fill="F7FAF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182638"/>
                <w:sz w:val="18"/>
              </w:rPr>
              <w:t>Torque may persist beyond the commanded removal interval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1656"/>
            <w:shd w:fill="0D2F4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LENS</w:t>
            </w:r>
          </w:p>
        </w:tc>
        <w:tc>
          <w:tcPr>
            <w:tcW w:type="dxa" w:w="1080"/>
            <w:shd w:fill="0D2F4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INITIAL</w:t>
            </w:r>
          </w:p>
        </w:tc>
        <w:tc>
          <w:tcPr>
            <w:tcW w:type="dxa" w:w="6264"/>
            <w:shd w:fill="0D2F4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RATIONALE</w:t>
            </w:r>
          </w:p>
        </w:tc>
        <w:tc>
          <w:tcPr>
            <w:tcW w:type="dxa" w:w="1080"/>
            <w:shd w:fill="0D2F4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RESIDUAL</w:t>
            </w:r>
          </w:p>
        </w:tc>
      </w:tr>
      <w:tr>
        <w:tc>
          <w:tcPr>
            <w:tcW w:type="dxa" w:w="165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182638"/>
                <w:sz w:val="16"/>
              </w:rPr>
              <w:t>Severity</w:t>
            </w:r>
          </w:p>
        </w:tc>
        <w:tc>
          <w:tcPr>
            <w:tcW w:type="dxa" w:w="1080"/>
            <w:shd w:fill="FDEBED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182638"/>
                <w:sz w:val="16"/>
              </w:rPr>
              <w:t>10</w:t>
            </w:r>
          </w:p>
        </w:tc>
        <w:tc>
          <w:tcPr>
            <w:tcW w:type="dxa" w:w="626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6"/>
              </w:rPr>
              <w:t>Credible uncontrolled torque path can violate a propulsion safety goal.</w:t>
            </w:r>
          </w:p>
        </w:tc>
        <w:tc>
          <w:tcPr>
            <w:tcW w:type="dxa" w:w="1080"/>
            <w:shd w:fill="DDF7F4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182638"/>
                <w:sz w:val="16"/>
              </w:rPr>
              <w:t>10</w:t>
            </w:r>
          </w:p>
        </w:tc>
      </w:tr>
      <w:tr>
        <w:tc>
          <w:tcPr>
            <w:tcW w:type="dxa" w:w="165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182638"/>
                <w:sz w:val="16"/>
              </w:rPr>
              <w:t>Occurrence</w:t>
            </w:r>
          </w:p>
        </w:tc>
        <w:tc>
          <w:tcPr>
            <w:tcW w:type="dxa" w:w="108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182638"/>
                <w:sz w:val="16"/>
              </w:rPr>
              <w:t>3</w:t>
            </w:r>
          </w:p>
        </w:tc>
        <w:tc>
          <w:tcPr>
            <w:tcW w:type="dxa" w:w="626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6"/>
              </w:rPr>
              <w:t>Rare but physically credible short not eliminated by original architecture.</w:t>
            </w:r>
          </w:p>
        </w:tc>
        <w:tc>
          <w:tcPr>
            <w:tcW w:type="dxa" w:w="1080"/>
            <w:shd w:fill="DDF7F4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182638"/>
                <w:sz w:val="16"/>
              </w:rPr>
              <w:t>2</w:t>
            </w:r>
          </w:p>
        </w:tc>
      </w:tr>
      <w:tr>
        <w:tc>
          <w:tcPr>
            <w:tcW w:type="dxa" w:w="165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182638"/>
                <w:sz w:val="16"/>
              </w:rPr>
              <w:t>Detection</w:t>
            </w:r>
          </w:p>
        </w:tc>
        <w:tc>
          <w:tcPr>
            <w:tcW w:type="dxa" w:w="108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182638"/>
                <w:sz w:val="16"/>
              </w:rPr>
              <w:t>8</w:t>
            </w:r>
          </w:p>
        </w:tc>
        <w:tc>
          <w:tcPr>
            <w:tcW w:type="dxa" w:w="626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82638"/>
                <w:sz w:val="16"/>
              </w:rPr>
              <w:t>Primary controller lacks independent confirmation that the stage is disabled.</w:t>
            </w:r>
          </w:p>
        </w:tc>
        <w:tc>
          <w:tcPr>
            <w:tcW w:type="dxa" w:w="1080"/>
            <w:shd w:fill="DDF7F4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182638"/>
                <w:sz w:val="16"/>
              </w:rPr>
              <w:t>2</w:t>
            </w:r>
          </w:p>
        </w:tc>
      </w:tr>
    </w:tbl>
    <w:p>
      <w:pPr>
        <w:spacing w:before="160" w:after="160" w:line="240" w:lineRule="auto"/>
        <w:jc w:val="center"/>
      </w:pPr>
      <w:r>
        <w:rPr>
          <w:rFonts w:ascii="Arial" w:hAnsi="Arial" w:eastAsia="Arial"/>
          <w:b/>
          <w:color w:val="E63946"/>
          <w:sz w:val="20"/>
        </w:rPr>
        <w:t>Initial RPN: 10 × 3 × 8 = 240  •  Response Lane A — Stop &amp; Escalate</w:t>
      </w:r>
    </w:p>
    <w:p>
      <w:pPr>
        <w:spacing w:before="0" w:after="80" w:line="240" w:lineRule="auto"/>
      </w:pPr>
      <w:r>
        <w:rPr>
          <w:rFonts w:ascii="Arial" w:hAnsi="Arial" w:eastAsia="Arial"/>
          <w:b/>
          <w:color w:val="0D2F4F"/>
          <w:sz w:val="24"/>
        </w:rPr>
        <w:t>Required engineering actions</w:t>
      </w:r>
    </w:p>
    <w:p>
      <w:pPr>
        <w:pStyle w:val="ListBullet"/>
        <w:spacing w:after="60"/>
        <w:ind w:left="259"/>
      </w:pPr>
      <w:r>
        <w:rPr>
          <w:rFonts w:ascii="Arial" w:hAnsi="Arial" w:eastAsia="Arial"/>
          <w:color w:val="182638"/>
          <w:sz w:val="17"/>
        </w:rPr>
        <w:t>Add an independent hardware disable path that does not share the primary enable node.</w:t>
      </w:r>
    </w:p>
    <w:p>
      <w:pPr>
        <w:pStyle w:val="ListBullet"/>
        <w:spacing w:after="60"/>
        <w:ind w:left="259"/>
      </w:pPr>
      <w:r>
        <w:rPr>
          <w:rFonts w:ascii="Arial" w:hAnsi="Arial" w:eastAsia="Arial"/>
          <w:color w:val="182638"/>
          <w:sz w:val="17"/>
        </w:rPr>
        <w:t>Monitor output-stage state using feedback independent of the commanded value.</w:t>
      </w:r>
    </w:p>
    <w:p>
      <w:pPr>
        <w:pStyle w:val="ListBullet"/>
        <w:spacing w:after="60"/>
        <w:ind w:left="259"/>
      </w:pPr>
      <w:r>
        <w:rPr>
          <w:rFonts w:ascii="Arial" w:hAnsi="Arial" w:eastAsia="Arial"/>
          <w:color w:val="182638"/>
          <w:sz w:val="17"/>
        </w:rPr>
        <w:t>Define and verify the complete shutdown timing budget.</w:t>
      </w:r>
    </w:p>
    <w:p>
      <w:pPr>
        <w:pStyle w:val="ListBullet"/>
        <w:spacing w:after="60"/>
        <w:ind w:left="259"/>
      </w:pPr>
      <w:r>
        <w:rPr>
          <w:rFonts w:ascii="Arial" w:hAnsi="Arial" w:eastAsia="Arial"/>
          <w:color w:val="182638"/>
          <w:sz w:val="17"/>
        </w:rPr>
        <w:t>Perform dependent-failure analysis on shared supply, ground, connector, clock, and PCB routing.</w:t>
      </w:r>
    </w:p>
    <w:p>
      <w:pPr>
        <w:pStyle w:val="ListBullet"/>
        <w:spacing w:after="60"/>
        <w:ind w:left="259"/>
      </w:pPr>
      <w:r>
        <w:rPr>
          <w:rFonts w:ascii="Arial" w:hAnsi="Arial" w:eastAsia="Arial"/>
          <w:color w:val="182638"/>
          <w:sz w:val="17"/>
        </w:rPr>
        <w:t>Inject open, short, stuck-active, and delayed-reaction faults; capture detection and torque-removal timing.</w:t>
      </w:r>
    </w:p>
    <w:p>
      <w:pPr>
        <w:spacing w:before="100" w:after="80" w:line="240" w:lineRule="auto"/>
      </w:pPr>
      <w:r>
        <w:rPr>
          <w:rFonts w:ascii="Arial" w:hAnsi="Arial" w:eastAsia="Arial"/>
          <w:b/>
          <w:color w:val="0D2F4F"/>
          <w:sz w:val="24"/>
        </w:rPr>
        <w:t>Review prompts before approval</w:t>
      </w:r>
    </w:p>
    <w:p>
      <w:pPr>
        <w:pStyle w:val="ListBullet"/>
        <w:spacing w:after="60"/>
        <w:ind w:left="259"/>
      </w:pPr>
      <w:r>
        <w:rPr>
          <w:rFonts w:ascii="Arial" w:hAnsi="Arial" w:eastAsia="Arial"/>
          <w:color w:val="182638"/>
          <w:sz w:val="17"/>
        </w:rPr>
        <w:t>Is the highest-level effect stated, or only the local symptom?</w:t>
      </w:r>
    </w:p>
    <w:p>
      <w:pPr>
        <w:pStyle w:val="ListBullet"/>
        <w:spacing w:after="60"/>
        <w:ind w:left="259"/>
      </w:pPr>
      <w:r>
        <w:rPr>
          <w:rFonts w:ascii="Arial" w:hAnsi="Arial" w:eastAsia="Arial"/>
          <w:color w:val="182638"/>
          <w:sz w:val="17"/>
        </w:rPr>
        <w:t>Does occurrence reflect this design and configuration?</w:t>
      </w:r>
    </w:p>
    <w:p>
      <w:pPr>
        <w:pStyle w:val="ListBullet"/>
        <w:spacing w:after="60"/>
        <w:ind w:left="259"/>
      </w:pPr>
      <w:r>
        <w:rPr>
          <w:rFonts w:ascii="Arial" w:hAnsi="Arial" w:eastAsia="Arial"/>
          <w:color w:val="182638"/>
          <w:sz w:val="17"/>
        </w:rPr>
        <w:t>Is the monitor independent enough to detect the fault it monitors?</w:t>
      </w:r>
    </w:p>
    <w:p>
      <w:pPr>
        <w:pStyle w:val="ListBullet"/>
        <w:spacing w:after="60"/>
        <w:ind w:left="259"/>
      </w:pPr>
      <w:r>
        <w:rPr>
          <w:rFonts w:ascii="Arial" w:hAnsi="Arial" w:eastAsia="Arial"/>
          <w:color w:val="182638"/>
          <w:sz w:val="17"/>
        </w:rPr>
        <w:t>Is detection and reaction inside the required fault-tolerant interval?</w:t>
      </w:r>
    </w:p>
    <w:p>
      <w:pPr>
        <w:pStyle w:val="ListBullet"/>
        <w:spacing w:after="60"/>
        <w:ind w:left="259"/>
      </w:pPr>
      <w:r>
        <w:rPr>
          <w:rFonts w:ascii="Arial" w:hAnsi="Arial" w:eastAsia="Arial"/>
          <w:color w:val="182638"/>
          <w:sz w:val="17"/>
        </w:rPr>
        <w:t>Is the residual score based on implemented and verified action?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7EFF7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3A6EA5"/>
              <w:left w:val="single" w:sz="6" w:color="3A6EA5"/>
              <w:bottom w:val="single" w:sz="6" w:color="3A6EA5"/>
              <w:right w:val="single" w:sz="6" w:color="3A6EA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0D2F4F"/>
                <w:sz w:val="17"/>
              </w:rPr>
              <w:t>Ownership statement: The FMEA Risk Lens, response lanes, scoring language, diagrams, and example are original material developed for the Automotive Functional Safety Engineering Playbook.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648" w:right="893" w:bottom="720" w:left="893" w:header="216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8640"/>
      <w:gridCol w:w="1728"/>
    </w:tblGrid>
    <w:tr>
      <w:tc>
        <w:tcPr>
          <w:tcW w:type="dxa" w:w="5184"/>
          <w:tcMar>
            <w:top w:w="20" w:type="dxa"/>
            <w:start w:w="20" w:type="dxa"/>
            <w:bottom w:w="20" w:type="dxa"/>
            <w:end w:w="2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="240" w:lineRule="auto"/>
          </w:pPr>
          <w:r>
            <w:rPr>
              <w:rFonts w:ascii="Arial" w:hAnsi="Arial" w:eastAsia="Arial"/>
              <w:b w:val="0"/>
              <w:color w:val="536675"/>
              <w:sz w:val="15"/>
            </w:rPr>
            <w:t>Original engineering framework • Not an official ISO or AIAG-VDA ranking table</w:t>
          </w:r>
        </w:p>
      </w:tc>
      <w:tc>
        <w:tcPr>
          <w:tcW w:type="dxa" w:w="5184"/>
          <w:tcMar>
            <w:top w:w="20" w:type="dxa"/>
            <w:start w:w="20" w:type="dxa"/>
            <w:bottom w:w="20" w:type="dxa"/>
            <w:end w:w="2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Arial" w:hAnsi="Arial" w:eastAsia="Arial"/>
              <w:b/>
              <w:color w:val="536675"/>
              <w:sz w:val="16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8064"/>
      <w:gridCol w:w="2304"/>
    </w:tblGrid>
    <w:tr>
      <w:tc>
        <w:tcPr>
          <w:tcW w:type="dxa" w:w="5184"/>
          <w:shd w:fill="0D2F4F"/>
          <w:tcMar>
            <w:top w:w="70" w:type="dxa"/>
            <w:start w:w="100" w:type="dxa"/>
            <w:bottom w:w="70" w:type="dxa"/>
            <w:end w:w="10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="240" w:lineRule="auto"/>
          </w:pPr>
          <w:r>
            <w:rPr>
              <w:rFonts w:ascii="Arial" w:hAnsi="Arial" w:eastAsia="Arial"/>
              <w:b/>
              <w:color w:val="FFFFFF"/>
              <w:sz w:val="16"/>
            </w:rPr>
            <w:t>AUTOMOTIVE FUNCTIONAL SAFETY  /  FMEA RISK LENS</w:t>
          </w:r>
        </w:p>
      </w:tc>
      <w:tc>
        <w:tcPr>
          <w:tcW w:type="dxa" w:w="5184"/>
          <w:shd w:fill="0D2F4F"/>
          <w:tcMar>
            <w:top w:w="70" w:type="dxa"/>
            <w:start w:w="100" w:type="dxa"/>
            <w:bottom w:w="70" w:type="dxa"/>
            <w:end w:w="10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="240" w:lineRule="auto"/>
            <w:jc w:val="right"/>
          </w:pPr>
          <w:r>
            <w:rPr>
              <w:rFonts w:ascii="Arial" w:hAnsi="Arial" w:eastAsia="Arial"/>
              <w:b/>
              <w:color w:val="2EC4B6"/>
              <w:sz w:val="16"/>
            </w:rPr>
            <w:t>HAMZA ALZAKARNEH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826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D2F4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D2F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D2F4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D2F4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Automotive FMEA Risk Lens Framework</dc:title>
  <dc:subject>Original evidence-based FMEA ranking framework for automotive electronics</dc:subject>
  <dc:creator>Hamza Alzakarneh</dc:creator>
  <cp:keywords>FMEA, automotive electronics, functional safety, ISO 26262, risk ranking, DFMEA</cp:keywords>
  <dc:description>Original engineering playbook material; not an official standard ranking table.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