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kep178881nw" w:id="0"/>
      <w:bookmarkEnd w:id="0"/>
      <w:r w:rsidDel="00000000" w:rsidR="00000000" w:rsidRPr="00000000">
        <w:rPr>
          <w:b w:val="1"/>
          <w:bCs w:val="1"/>
          <w:rtl w:val="0"/>
        </w:rPr>
        <w:t xml:space="preserve"> </w:t>
      </w:r>
      <w:r w:rsidDel="00000000" w:rsidR="00000000" w:rsidRPr="00000000">
        <w:rPr>
          <w:b w:val="1"/>
          <w:bCs w:val="1"/>
          <w:rtl w:val="0"/>
        </w:rPr>
        <w:t xml:space="preserve">Suricat Website Redesign (Landing Page)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TOP BANNER:</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5080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Navigation BAR:</w:t>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943600" cy="8509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8"/>
          <w:szCs w:val="28"/>
        </w:rPr>
      </w:pPr>
      <w:bookmarkStart w:colFirst="0" w:colLast="0" w:name="_ba2soljunigh" w:id="1"/>
      <w:bookmarkEnd w:id="1"/>
      <w:r w:rsidDel="00000000" w:rsidR="00000000" w:rsidRPr="00000000">
        <w:rPr>
          <w:b w:val="1"/>
          <w:bCs w:val="1"/>
          <w:sz w:val="28"/>
          <w:szCs w:val="28"/>
          <w:rtl w:val="0"/>
        </w:rPr>
        <w:t xml:space="preserve">CTAs:</w:t>
      </w:r>
    </w:p>
    <w:p w:rsidR="00000000" w:rsidDel="00000000" w:rsidP="00000000" w:rsidRDefault="00000000" w:rsidRPr="00000000" w14:paraId="00000008">
      <w:pPr>
        <w:rPr/>
      </w:pPr>
      <w:r w:rsidDel="00000000" w:rsidR="00000000" w:rsidRPr="00000000">
        <w:rPr>
          <w:rtl w:val="0"/>
        </w:rPr>
        <w:t xml:space="preserve">Only three CTAs </w:t>
      </w:r>
    </w:p>
    <w:p w:rsidR="00000000" w:rsidDel="00000000" w:rsidP="00000000" w:rsidRDefault="00000000" w:rsidRPr="00000000" w14:paraId="00000009">
      <w:pPr>
        <w:rPr>
          <w:b w:val="1"/>
          <w:bCs w:val="1"/>
        </w:rPr>
      </w:pPr>
      <w:r w:rsidDel="00000000" w:rsidR="00000000" w:rsidRPr="00000000">
        <w:rPr>
          <w:rtl w:val="0"/>
        </w:rPr>
        <w:t xml:space="preserve">1) </w:t>
      </w:r>
      <w:r w:rsidDel="00000000" w:rsidR="00000000" w:rsidRPr="00000000">
        <w:rPr>
          <w:b w:val="1"/>
          <w:bCs w:val="1"/>
          <w:rtl w:val="0"/>
        </w:rPr>
        <w:t xml:space="preserve">Join as a Design Partner </w:t>
      </w:r>
    </w:p>
    <w:p w:rsidR="00000000" w:rsidDel="00000000" w:rsidP="00000000" w:rsidRDefault="00000000" w:rsidRPr="00000000" w14:paraId="0000000A">
      <w:pPr>
        <w:rPr>
          <w:b w:val="1"/>
          <w:bCs w:val="1"/>
        </w:rPr>
      </w:pPr>
      <w:r w:rsidDel="00000000" w:rsidR="00000000" w:rsidRPr="00000000">
        <w:rPr>
          <w:rtl w:val="0"/>
        </w:rPr>
        <w:t xml:space="preserve">2) </w:t>
      </w:r>
      <w:r w:rsidDel="00000000" w:rsidR="00000000" w:rsidRPr="00000000">
        <w:rPr>
          <w:b w:val="1"/>
          <w:bCs w:val="1"/>
          <w:rtl w:val="0"/>
        </w:rPr>
        <w:t xml:space="preserve">Request a Free Pilot </w:t>
      </w:r>
    </w:p>
    <w:p w:rsidR="00000000" w:rsidDel="00000000" w:rsidP="00000000" w:rsidRDefault="00000000" w:rsidRPr="00000000" w14:paraId="0000000B">
      <w:pPr>
        <w:rPr>
          <w:b w:val="1"/>
          <w:bCs w:val="1"/>
        </w:rPr>
      </w:pPr>
      <w:r w:rsidDel="00000000" w:rsidR="00000000" w:rsidRPr="00000000">
        <w:rPr>
          <w:rtl w:val="0"/>
        </w:rPr>
        <w:t xml:space="preserve">3) </w:t>
      </w:r>
      <w:r w:rsidDel="00000000" w:rsidR="00000000" w:rsidRPr="00000000">
        <w:rPr>
          <w:b w:val="1"/>
          <w:bCs w:val="1"/>
          <w:rtl w:val="0"/>
        </w:rPr>
        <w:t xml:space="preserve">Got Questions?</w:t>
      </w: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sz w:val="28"/>
          <w:szCs w:val="28"/>
          <w:highlight w:val="yellow"/>
        </w:rPr>
      </w:pPr>
      <w:r w:rsidDel="00000000" w:rsidR="00000000" w:rsidRPr="00000000">
        <w:rPr>
          <w:rtl w:val="0"/>
        </w:rPr>
      </w:r>
    </w:p>
    <w:p w:rsidR="00000000" w:rsidDel="00000000" w:rsidP="00000000" w:rsidRDefault="00000000" w:rsidRPr="00000000" w14:paraId="00000010">
      <w:pPr>
        <w:rPr>
          <w:sz w:val="28"/>
          <w:szCs w:val="28"/>
          <w:highlight w:val="yellow"/>
        </w:rPr>
      </w:pPr>
      <w:r w:rsidDel="00000000" w:rsidR="00000000" w:rsidRPr="00000000">
        <w:rPr>
          <w:rtl w:val="0"/>
        </w:rPr>
      </w:r>
    </w:p>
    <w:p w:rsidR="00000000" w:rsidDel="00000000" w:rsidP="00000000" w:rsidRDefault="00000000" w:rsidRPr="00000000" w14:paraId="00000011">
      <w:pPr>
        <w:rPr>
          <w:sz w:val="28"/>
          <w:szCs w:val="28"/>
          <w:highlight w:val="yellow"/>
        </w:rPr>
      </w:pPr>
      <w:r w:rsidDel="00000000" w:rsidR="00000000" w:rsidRPr="00000000">
        <w:rPr>
          <w:rtl w:val="0"/>
        </w:rPr>
      </w:r>
    </w:p>
    <w:p w:rsidR="00000000" w:rsidDel="00000000" w:rsidP="00000000" w:rsidRDefault="00000000" w:rsidRPr="00000000" w14:paraId="00000012">
      <w:pPr>
        <w:rPr>
          <w:sz w:val="28"/>
          <w:szCs w:val="28"/>
          <w:highlight w:val="yellow"/>
        </w:rPr>
      </w:pPr>
      <w:r w:rsidDel="00000000" w:rsidR="00000000" w:rsidRPr="00000000">
        <w:rPr>
          <w:rtl w:val="0"/>
        </w:rPr>
      </w:r>
    </w:p>
    <w:p w:rsidR="00000000" w:rsidDel="00000000" w:rsidP="00000000" w:rsidRDefault="00000000" w:rsidRPr="00000000" w14:paraId="00000013">
      <w:pPr>
        <w:rPr>
          <w:sz w:val="28"/>
          <w:szCs w:val="28"/>
          <w:highlight w:val="yellow"/>
        </w:rPr>
      </w:pPr>
      <w:r w:rsidDel="00000000" w:rsidR="00000000" w:rsidRPr="00000000">
        <w:rPr>
          <w:rtl w:val="0"/>
        </w:rPr>
      </w:r>
    </w:p>
    <w:p w:rsidR="00000000" w:rsidDel="00000000" w:rsidP="00000000" w:rsidRDefault="00000000" w:rsidRPr="00000000" w14:paraId="00000014">
      <w:pPr>
        <w:rPr>
          <w:sz w:val="28"/>
          <w:szCs w:val="28"/>
          <w:highlight w:val="yellow"/>
        </w:rPr>
      </w:pPr>
      <w:r w:rsidDel="00000000" w:rsidR="00000000" w:rsidRPr="00000000">
        <w:rPr>
          <w:rtl w:val="0"/>
        </w:rPr>
      </w:r>
    </w:p>
    <w:p w:rsidR="00000000" w:rsidDel="00000000" w:rsidP="00000000" w:rsidRDefault="00000000" w:rsidRPr="00000000" w14:paraId="00000015">
      <w:pPr>
        <w:rPr>
          <w:sz w:val="28"/>
          <w:szCs w:val="28"/>
          <w:highlight w:val="yellow"/>
        </w:rPr>
      </w:pPr>
      <w:r w:rsidDel="00000000" w:rsidR="00000000" w:rsidRPr="00000000">
        <w:rPr>
          <w:rtl w:val="0"/>
        </w:rPr>
      </w:r>
    </w:p>
    <w:p w:rsidR="00000000" w:rsidDel="00000000" w:rsidP="00000000" w:rsidRDefault="00000000" w:rsidRPr="00000000" w14:paraId="00000016">
      <w:pPr>
        <w:rPr>
          <w:sz w:val="28"/>
          <w:szCs w:val="28"/>
          <w:highlight w:val="yellow"/>
        </w:rPr>
      </w:pPr>
      <w:r w:rsidDel="00000000" w:rsidR="00000000" w:rsidRPr="00000000">
        <w:rPr>
          <w:rtl w:val="0"/>
        </w:rPr>
      </w:r>
    </w:p>
    <w:p w:rsidR="00000000" w:rsidDel="00000000" w:rsidP="00000000" w:rsidRDefault="00000000" w:rsidRPr="00000000" w14:paraId="00000017">
      <w:pPr>
        <w:rPr>
          <w:sz w:val="28"/>
          <w:szCs w:val="28"/>
          <w:highlight w:val="yellow"/>
        </w:rPr>
      </w:pPr>
      <w:r w:rsidDel="00000000" w:rsidR="00000000" w:rsidRPr="00000000">
        <w:rPr>
          <w:rtl w:val="0"/>
        </w:rPr>
      </w:r>
    </w:p>
    <w:p w:rsidR="00000000" w:rsidDel="00000000" w:rsidP="00000000" w:rsidRDefault="00000000" w:rsidRPr="00000000" w14:paraId="00000018">
      <w:pPr>
        <w:rPr>
          <w:sz w:val="28"/>
          <w:szCs w:val="28"/>
          <w:highlight w:val="yellow"/>
        </w:rPr>
      </w:pPr>
      <w:r w:rsidDel="00000000" w:rsidR="00000000" w:rsidRPr="00000000">
        <w:rPr>
          <w:rtl w:val="0"/>
        </w:rPr>
      </w:r>
    </w:p>
    <w:p w:rsidR="00000000" w:rsidDel="00000000" w:rsidP="00000000" w:rsidRDefault="00000000" w:rsidRPr="00000000" w14:paraId="00000019">
      <w:pPr>
        <w:rPr>
          <w:sz w:val="28"/>
          <w:szCs w:val="28"/>
          <w:highlight w:val="yellow"/>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28"/>
          <w:szCs w:val="28"/>
        </w:rPr>
      </w:pPr>
      <w:bookmarkStart w:colFirst="0" w:colLast="0" w:name="_dydy8tkwz2ir" w:id="2"/>
      <w:bookmarkEnd w:id="2"/>
      <w:r w:rsidDel="00000000" w:rsidR="00000000" w:rsidRPr="00000000">
        <w:rPr>
          <w:b w:val="1"/>
          <w:bCs w:val="1"/>
          <w:sz w:val="28"/>
          <w:szCs w:val="28"/>
          <w:rtl w:val="0"/>
        </w:rPr>
        <w:t xml:space="preserve">Hero Section Message:</w:t>
      </w:r>
    </w:p>
    <w:p w:rsidR="00000000" w:rsidDel="00000000" w:rsidP="00000000" w:rsidRDefault="00000000" w:rsidRPr="00000000" w14:paraId="0000001B">
      <w:pPr>
        <w:pStyle w:val="Heading1"/>
        <w:keepNext w:val="0"/>
        <w:keepLines w:val="0"/>
        <w:spacing w:before="480" w:lineRule="auto"/>
        <w:rPr>
          <w:b w:val="1"/>
          <w:bCs w:val="1"/>
          <w:sz w:val="28"/>
          <w:szCs w:val="28"/>
        </w:rPr>
      </w:pPr>
      <w:bookmarkStart w:colFirst="0" w:colLast="0" w:name="_rrx9wwhts8gd" w:id="3"/>
      <w:bookmarkEnd w:id="3"/>
      <w:r w:rsidDel="00000000" w:rsidR="00000000" w:rsidRPr="00000000">
        <w:rPr>
          <w:b w:val="1"/>
          <w:bCs w:val="1"/>
          <w:sz w:val="28"/>
          <w:szCs w:val="28"/>
          <w:rtl w:val="0"/>
        </w:rPr>
        <w:t xml:space="preserve">The Sentinel for Compliance Intelligence</w:t>
      </w:r>
    </w:p>
    <w:p w:rsidR="00000000" w:rsidDel="00000000" w:rsidP="00000000" w:rsidRDefault="00000000" w:rsidRPr="00000000" w14:paraId="0000001C">
      <w:pPr>
        <w:rPr>
          <w:b w:val="1"/>
          <w:bCs w:val="1"/>
          <w:sz w:val="36"/>
          <w:szCs w:val="36"/>
        </w:rPr>
      </w:pPr>
      <w:r w:rsidDel="00000000" w:rsidR="00000000" w:rsidRPr="00000000">
        <w:rPr>
          <w:rtl w:val="0"/>
        </w:rPr>
        <w:t xml:space="preserve">Suricat works alongside existing QMS and other quality systems to surface potential quality issues, compliance gaps, and misalignments across documents and records, link each one to its source evidence, and help QA/RA teams address them before an auditor finds them.</w:t>
      </w: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b w:val="1"/>
          <w:bCs w:val="1"/>
          <w:sz w:val="28"/>
          <w:szCs w:val="28"/>
          <w:highlight w:val="white"/>
        </w:rPr>
      </w:pPr>
      <w:r w:rsidDel="00000000" w:rsidR="00000000" w:rsidRPr="00000000">
        <w:rPr>
          <w:b w:val="1"/>
          <w:bCs w:val="1"/>
          <w:sz w:val="28"/>
          <w:szCs w:val="28"/>
          <w:highlight w:val="white"/>
          <w:rtl w:val="0"/>
        </w:rPr>
        <w:t xml:space="preserve">HERO VISUAL:</w:t>
      </w:r>
    </w:p>
    <w:p w:rsidR="00000000" w:rsidDel="00000000" w:rsidP="00000000" w:rsidRDefault="00000000" w:rsidRPr="00000000" w14:paraId="0000001F">
      <w:pPr>
        <w:rPr>
          <w:highlight w:val="white"/>
        </w:rPr>
      </w:pPr>
      <w:r w:rsidDel="00000000" w:rsidR="00000000" w:rsidRPr="00000000">
        <w:rPr>
          <w:rtl w:val="0"/>
        </w:rPr>
      </w:r>
    </w:p>
    <w:p w:rsidR="00000000" w:rsidDel="00000000" w:rsidP="00000000" w:rsidRDefault="00000000" w:rsidRPr="00000000" w14:paraId="00000020">
      <w:pPr>
        <w:rPr>
          <w:highlight w:val="yellow"/>
        </w:rPr>
      </w:pPr>
      <w:r w:rsidDel="00000000" w:rsidR="00000000" w:rsidRPr="00000000">
        <w:rPr>
          <w:highlight w:val="white"/>
        </w:rPr>
        <w:drawing>
          <wp:inline distB="114300" distT="114300" distL="114300" distR="114300">
            <wp:extent cx="5141683" cy="3452538"/>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141683" cy="345253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28"/>
          <w:szCs w:val="28"/>
        </w:rPr>
      </w:pPr>
      <w:bookmarkStart w:colFirst="0" w:colLast="0" w:name="_64awho7zewnx" w:id="4"/>
      <w:bookmarkEnd w:id="4"/>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28"/>
          <w:szCs w:val="28"/>
        </w:rPr>
      </w:pPr>
      <w:bookmarkStart w:colFirst="0" w:colLast="0" w:name="_oru0metglijz" w:id="5"/>
      <w:bookmarkEnd w:id="5"/>
      <w:r w:rsidDel="00000000" w:rsidR="00000000" w:rsidRPr="00000000">
        <w:rPr>
          <w:b w:val="1"/>
          <w:bCs w:val="1"/>
          <w:sz w:val="28"/>
          <w:szCs w:val="28"/>
          <w:rtl w:val="0"/>
        </w:rPr>
        <w:t xml:space="preserve">1</w:t>
      </w:r>
      <w:r w:rsidDel="00000000" w:rsidR="00000000" w:rsidRPr="00000000">
        <w:rPr>
          <w:b w:val="1"/>
          <w:bCs w:val="1"/>
          <w:sz w:val="28"/>
          <w:szCs w:val="28"/>
          <w:rtl w:val="0"/>
        </w:rPr>
        <w:t xml:space="preserve">) THE COST OF MISALIGNMENT</w:t>
      </w:r>
    </w:p>
    <w:p w:rsidR="00000000" w:rsidDel="00000000" w:rsidP="00000000" w:rsidRDefault="00000000" w:rsidRPr="00000000" w14:paraId="00000023">
      <w:pPr>
        <w:pStyle w:val="Heading2"/>
        <w:keepNext w:val="0"/>
        <w:keepLines w:val="0"/>
        <w:spacing w:after="240" w:before="240" w:lineRule="auto"/>
        <w:rPr>
          <w:b w:val="1"/>
          <w:bCs w:val="1"/>
          <w:sz w:val="28"/>
          <w:szCs w:val="28"/>
        </w:rPr>
      </w:pPr>
      <w:bookmarkStart w:colFirst="0" w:colLast="0" w:name="_oru0metglijz" w:id="5"/>
      <w:bookmarkEnd w:id="5"/>
      <w:r w:rsidDel="00000000" w:rsidR="00000000" w:rsidRPr="00000000">
        <w:rPr>
          <w:b w:val="1"/>
          <w:bCs w:val="1"/>
          <w:sz w:val="28"/>
          <w:szCs w:val="28"/>
          <w:rtl w:val="0"/>
        </w:rPr>
        <w:t xml:space="preserve">Misalignment Can Stay Hidden Until It Matters.</w:t>
      </w:r>
    </w:p>
    <w:p w:rsidR="00000000" w:rsidDel="00000000" w:rsidP="00000000" w:rsidRDefault="00000000" w:rsidRPr="00000000" w14:paraId="00000024">
      <w:pPr>
        <w:pStyle w:val="Heading2"/>
        <w:keepNext w:val="0"/>
        <w:keepLines w:val="0"/>
        <w:spacing w:after="240" w:before="240" w:lineRule="auto"/>
        <w:rPr>
          <w:sz w:val="22"/>
          <w:szCs w:val="22"/>
        </w:rPr>
      </w:pPr>
      <w:bookmarkStart w:colFirst="0" w:colLast="0" w:name="_oru0metglijz" w:id="5"/>
      <w:bookmarkEnd w:id="5"/>
      <w:r w:rsidDel="00000000" w:rsidR="00000000" w:rsidRPr="00000000">
        <w:rPr>
          <w:sz w:val="22"/>
          <w:szCs w:val="22"/>
          <w:rtl w:val="0"/>
        </w:rPr>
        <w:t xml:space="preserve">Quality and compliance issues can go unnoticed when related information across requirements, documents, and records no longer lines up.</w:t>
      </w:r>
    </w:p>
    <w:p w:rsidR="00000000" w:rsidDel="00000000" w:rsidP="00000000" w:rsidRDefault="00000000" w:rsidRPr="00000000" w14:paraId="00000025">
      <w:pPr>
        <w:pStyle w:val="Heading2"/>
        <w:keepNext w:val="0"/>
        <w:keepLines w:val="0"/>
        <w:spacing w:after="240" w:before="240" w:lineRule="auto"/>
        <w:rPr>
          <w:sz w:val="22"/>
          <w:szCs w:val="22"/>
        </w:rPr>
      </w:pPr>
      <w:bookmarkStart w:colFirst="0" w:colLast="0" w:name="_oru0metglijz" w:id="5"/>
      <w:bookmarkEnd w:id="5"/>
      <w:r w:rsidDel="00000000" w:rsidR="00000000" w:rsidRPr="00000000">
        <w:rPr>
          <w:sz w:val="22"/>
          <w:szCs w:val="22"/>
          <w:rtl w:val="0"/>
        </w:rPr>
        <w:t xml:space="preserve">By the time an audit, inspection, or recall exposes them, the financial and operational impact can be significant.</w:t>
      </w:r>
    </w:p>
    <w:p w:rsidR="00000000" w:rsidDel="00000000" w:rsidP="00000000" w:rsidRDefault="00000000" w:rsidRPr="00000000" w14:paraId="00000026">
      <w:pPr>
        <w:pStyle w:val="Heading2"/>
        <w:keepNext w:val="0"/>
        <w:keepLines w:val="0"/>
        <w:spacing w:after="240" w:before="240" w:lineRule="auto"/>
        <w:rPr>
          <w:sz w:val="22"/>
          <w:szCs w:val="22"/>
        </w:rPr>
      </w:pPr>
      <w:bookmarkStart w:colFirst="0" w:colLast="0" w:name="_3mapsjn8mmze" w:id="6"/>
      <w:bookmarkEnd w:id="6"/>
      <w:r w:rsidDel="00000000" w:rsidR="00000000" w:rsidRPr="00000000">
        <w:rPr>
          <w:b w:val="1"/>
          <w:bCs w:val="1"/>
          <w:sz w:val="22"/>
          <w:szCs w:val="22"/>
          <w:rtl w:val="0"/>
        </w:rPr>
        <w:t xml:space="preserve">The information may exist. The relationships can still be missed.</w: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Pr>
        <w:drawing>
          <wp:inline distB="114300" distT="114300" distL="114300" distR="114300">
            <wp:extent cx="5462588" cy="4114449"/>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62588" cy="4114449"/>
                    </a:xfrm>
                    <a:prstGeom prst="rect"/>
                    <a:ln/>
                  </pic:spPr>
                </pic:pic>
              </a:graphicData>
            </a:graphic>
          </wp:inline>
        </w:drawing>
      </w:r>
      <w:r w:rsidDel="00000000" w:rsidR="00000000" w:rsidRPr="00000000">
        <w:rPr>
          <w:rtl w:val="0"/>
        </w:rPr>
      </w:r>
    </w:p>
    <w:tbl>
      <w:tblPr>
        <w:tblStyle w:val="Table1"/>
        <w:tblW w:w="1036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gridCol w:w="4710"/>
        <w:tblGridChange w:id="0">
          <w:tblGrid>
            <w:gridCol w:w="5655"/>
            <w:gridCol w:w="4710"/>
          </w:tblGrid>
        </w:tblGridChange>
      </w:tblGrid>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8">
            <w:pPr>
              <w:spacing w:after="240" w:before="240" w:lineRule="auto"/>
              <w:rPr>
                <w:b w:val="1"/>
                <w:bCs w:val="1"/>
                <w:sz w:val="20"/>
                <w:szCs w:val="20"/>
              </w:rPr>
            </w:pPr>
            <w:r w:rsidDel="00000000" w:rsidR="00000000" w:rsidRPr="00000000">
              <w:rPr>
                <w:b w:val="1"/>
                <w:bCs w:val="1"/>
                <w:sz w:val="20"/>
                <w:szCs w:val="20"/>
                <w:rtl w:val="0"/>
              </w:rPr>
              <w:t xml:space="preserve">Cost of Quality · $26B to $36B</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9">
            <w:pPr>
              <w:spacing w:after="240" w:before="240" w:lineRule="auto"/>
              <w:rPr>
                <w:b w:val="1"/>
                <w:bCs w:val="1"/>
                <w:sz w:val="20"/>
                <w:szCs w:val="20"/>
              </w:rPr>
            </w:pPr>
            <w:r w:rsidDel="00000000" w:rsidR="00000000" w:rsidRPr="00000000">
              <w:rPr>
                <w:b w:val="1"/>
                <w:bCs w:val="1"/>
                <w:sz w:val="20"/>
                <w:szCs w:val="20"/>
                <w:rtl w:val="0"/>
              </w:rPr>
              <w:t xml:space="preserve">McKinsey · Capturing the value of good quality in medical devices </w:t>
            </w:r>
            <w:hyperlink r:id="rId10">
              <w:r w:rsidDel="00000000" w:rsidR="00000000" w:rsidRPr="00000000">
                <w:rPr>
                  <w:b w:val="1"/>
                  <w:bCs w:val="1"/>
                  <w:color w:val="1155cc"/>
                  <w:sz w:val="20"/>
                  <w:szCs w:val="20"/>
                  <w:u w:val="single"/>
                  <w:rtl w:val="0"/>
                </w:rPr>
                <w:t xml:space="preserve">mckinsey</w:t>
              </w:r>
            </w:hyperlink>
            <w:r w:rsidDel="00000000" w:rsidR="00000000" w:rsidRPr="00000000">
              <w:rPr>
                <w:rtl w:val="0"/>
              </w:rPr>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A">
            <w:pPr>
              <w:spacing w:after="240" w:before="240" w:lineRule="auto"/>
              <w:rPr>
                <w:b w:val="1"/>
                <w:bCs w:val="1"/>
                <w:sz w:val="20"/>
                <w:szCs w:val="20"/>
              </w:rPr>
            </w:pPr>
            <w:r w:rsidDel="00000000" w:rsidR="00000000" w:rsidRPr="00000000">
              <w:rPr>
                <w:b w:val="1"/>
                <w:bCs w:val="1"/>
                <w:sz w:val="20"/>
                <w:szCs w:val="20"/>
                <w:rtl w:val="0"/>
              </w:rPr>
              <w:t xml:space="preserve">Quality and Compliance Failures · $7.5B to $9.5B</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B">
            <w:pPr>
              <w:spacing w:after="240" w:before="240" w:lineRule="auto"/>
              <w:rPr>
                <w:b w:val="1"/>
                <w:bCs w:val="1"/>
                <w:sz w:val="20"/>
                <w:szCs w:val="20"/>
              </w:rPr>
            </w:pPr>
            <w:r w:rsidDel="00000000" w:rsidR="00000000" w:rsidRPr="00000000">
              <w:rPr>
                <w:b w:val="1"/>
                <w:bCs w:val="1"/>
                <w:sz w:val="20"/>
                <w:szCs w:val="20"/>
                <w:rtl w:val="0"/>
              </w:rPr>
              <w:t xml:space="preserve">McKinsey · External quality failure costs </w:t>
            </w:r>
            <w:hyperlink r:id="rId11">
              <w:r w:rsidDel="00000000" w:rsidR="00000000" w:rsidRPr="00000000">
                <w:rPr>
                  <w:b w:val="1"/>
                  <w:bCs w:val="1"/>
                  <w:color w:val="1155cc"/>
                  <w:sz w:val="20"/>
                  <w:szCs w:val="20"/>
                  <w:u w:val="single"/>
                  <w:rtl w:val="0"/>
                </w:rPr>
                <w:t xml:space="preserve">mckinsey</w:t>
              </w:r>
            </w:hyperlink>
            <w:r w:rsidDel="00000000" w:rsidR="00000000" w:rsidRPr="00000000">
              <w:rPr>
                <w:rtl w:val="0"/>
              </w:rPr>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C">
            <w:pPr>
              <w:spacing w:after="240" w:before="240" w:lineRule="auto"/>
              <w:rPr>
                <w:b w:val="1"/>
                <w:bCs w:val="1"/>
                <w:sz w:val="20"/>
                <w:szCs w:val="20"/>
              </w:rPr>
            </w:pPr>
            <w:r w:rsidDel="00000000" w:rsidR="00000000" w:rsidRPr="00000000">
              <w:rPr>
                <w:b w:val="1"/>
                <w:bCs w:val="1"/>
                <w:sz w:val="20"/>
                <w:szCs w:val="20"/>
                <w:rtl w:val="0"/>
              </w:rPr>
              <w:t xml:space="preserve">Company Exposure · Up to $1B</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D">
            <w:pPr>
              <w:spacing w:after="240" w:before="240" w:lineRule="auto"/>
              <w:rPr>
                <w:b w:val="1"/>
                <w:bCs w:val="1"/>
                <w:sz w:val="20"/>
                <w:szCs w:val="20"/>
              </w:rPr>
            </w:pPr>
            <w:r w:rsidDel="00000000" w:rsidR="00000000" w:rsidRPr="00000000">
              <w:rPr>
                <w:b w:val="1"/>
                <w:bCs w:val="1"/>
                <w:sz w:val="20"/>
                <w:szCs w:val="20"/>
                <w:rtl w:val="0"/>
              </w:rPr>
              <w:t xml:space="preserve">McKinsey · Revenue impact of major quality events </w:t>
            </w:r>
            <w:hyperlink r:id="rId12">
              <w:r w:rsidDel="00000000" w:rsidR="00000000" w:rsidRPr="00000000">
                <w:rPr>
                  <w:b w:val="1"/>
                  <w:bCs w:val="1"/>
                  <w:color w:val="1155cc"/>
                  <w:sz w:val="20"/>
                  <w:szCs w:val="20"/>
                  <w:u w:val="single"/>
                  <w:rtl w:val="0"/>
                </w:rPr>
                <w:t xml:space="preserve">mckinsey</w:t>
              </w:r>
            </w:hyperlink>
            <w:r w:rsidDel="00000000" w:rsidR="00000000" w:rsidRPr="00000000">
              <w:rPr>
                <w:rtl w:val="0"/>
              </w:rPr>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E">
            <w:pPr>
              <w:spacing w:after="240" w:before="240" w:lineRule="auto"/>
              <w:rPr>
                <w:b w:val="1"/>
                <w:bCs w:val="1"/>
                <w:sz w:val="20"/>
                <w:szCs w:val="20"/>
              </w:rPr>
            </w:pPr>
            <w:r w:rsidDel="00000000" w:rsidR="00000000" w:rsidRPr="00000000">
              <w:rPr>
                <w:b w:val="1"/>
                <w:bCs w:val="1"/>
                <w:sz w:val="20"/>
                <w:szCs w:val="20"/>
                <w:rtl w:val="0"/>
              </w:rPr>
              <w:t xml:space="preserve">Remediation Burden · 0.4% to 0.7% of sales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F">
            <w:pPr>
              <w:spacing w:after="240" w:before="240" w:lineRule="auto"/>
              <w:rPr>
                <w:b w:val="1"/>
                <w:bCs w:val="1"/>
                <w:sz w:val="20"/>
                <w:szCs w:val="20"/>
              </w:rPr>
            </w:pPr>
            <w:r w:rsidDel="00000000" w:rsidR="00000000" w:rsidRPr="00000000">
              <w:rPr>
                <w:b w:val="1"/>
                <w:bCs w:val="1"/>
                <w:sz w:val="20"/>
                <w:szCs w:val="20"/>
                <w:rtl w:val="0"/>
              </w:rPr>
              <w:t xml:space="preserve">McKinsey · Remediation costs </w:t>
            </w:r>
            <w:hyperlink r:id="rId13">
              <w:r w:rsidDel="00000000" w:rsidR="00000000" w:rsidRPr="00000000">
                <w:rPr>
                  <w:b w:val="1"/>
                  <w:bCs w:val="1"/>
                  <w:color w:val="1155cc"/>
                  <w:sz w:val="20"/>
                  <w:szCs w:val="20"/>
                  <w:u w:val="single"/>
                  <w:rtl w:val="0"/>
                </w:rPr>
                <w:t xml:space="preserve">mckinsey</w:t>
              </w:r>
            </w:hyperlink>
            <w:r w:rsidDel="00000000" w:rsidR="00000000" w:rsidRPr="00000000">
              <w:rPr>
                <w:rtl w:val="0"/>
              </w:rPr>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0">
            <w:pPr>
              <w:spacing w:after="240" w:before="240" w:lineRule="auto"/>
              <w:rPr>
                <w:b w:val="1"/>
                <w:bCs w:val="1"/>
                <w:sz w:val="20"/>
                <w:szCs w:val="20"/>
              </w:rPr>
            </w:pPr>
            <w:r w:rsidDel="00000000" w:rsidR="00000000" w:rsidRPr="00000000">
              <w:rPr>
                <w:b w:val="1"/>
                <w:bCs w:val="1"/>
                <w:sz w:val="20"/>
                <w:szCs w:val="20"/>
                <w:rtl w:val="0"/>
              </w:rPr>
              <w:t xml:space="preserve">Design Control Exposure · 34.8%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1">
            <w:pPr>
              <w:spacing w:after="240" w:before="240" w:lineRule="auto"/>
              <w:rPr>
                <w:b w:val="1"/>
                <w:bCs w:val="1"/>
                <w:sz w:val="20"/>
                <w:szCs w:val="20"/>
              </w:rPr>
            </w:pPr>
            <w:r w:rsidDel="00000000" w:rsidR="00000000" w:rsidRPr="00000000">
              <w:rPr>
                <w:b w:val="1"/>
                <w:bCs w:val="1"/>
                <w:sz w:val="20"/>
                <w:szCs w:val="20"/>
                <w:rtl w:val="0"/>
              </w:rPr>
              <w:t xml:space="preserve">Deloitte · MedTech Quality Costs </w:t>
            </w:r>
            <w:hyperlink r:id="rId14">
              <w:r w:rsidDel="00000000" w:rsidR="00000000" w:rsidRPr="00000000">
                <w:rPr>
                  <w:b w:val="1"/>
                  <w:bCs w:val="1"/>
                  <w:color w:val="1155cc"/>
                  <w:sz w:val="20"/>
                  <w:szCs w:val="20"/>
                  <w:u w:val="single"/>
                  <w:rtl w:val="0"/>
                </w:rPr>
                <w:t xml:space="preserve">deloitte</w:t>
              </w:r>
            </w:hyperlink>
            <w:r w:rsidDel="00000000" w:rsidR="00000000" w:rsidRPr="00000000">
              <w:rPr>
                <w:rtl w:val="0"/>
              </w:rPr>
            </w:r>
          </w:p>
        </w:tc>
      </w:tr>
    </w:tbl>
    <w:p w:rsidR="00000000" w:rsidDel="00000000" w:rsidP="00000000" w:rsidRDefault="00000000" w:rsidRPr="00000000" w14:paraId="00000032">
      <w:pPr>
        <w:spacing w:after="240" w:before="240" w:lineRule="auto"/>
        <w:rPr>
          <w:b w:val="1"/>
          <w:bCs w:val="1"/>
        </w:rPr>
      </w:pPr>
      <w:r w:rsidDel="00000000" w:rsidR="00000000" w:rsidRPr="00000000">
        <w:rPr>
          <w:b w:val="1"/>
          <w:bCs w:val="1"/>
        </w:rPr>
        <w:drawing>
          <wp:inline distB="114300" distT="114300" distL="114300" distR="114300">
            <wp:extent cx="5943600" cy="50800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2595"/>
        <w:gridCol w:w="3255"/>
        <w:tblGridChange w:id="0">
          <w:tblGrid>
            <w:gridCol w:w="3255"/>
            <w:gridCol w:w="2595"/>
            <w:gridCol w:w="3255"/>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Story</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Direct link to the FDA webpage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Relevant section</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Medtronic · 74,000+ complaints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FDA warning letter · December 9, 2021 </w:t>
            </w:r>
            <w:hyperlink r:id="rId16">
              <w:r w:rsidDel="00000000" w:rsidR="00000000" w:rsidRPr="00000000">
                <w:rPr>
                  <w:b w:val="1"/>
                  <w:bCs w:val="1"/>
                  <w:color w:val="1155cc"/>
                  <w:u w:val="single"/>
                  <w:rtl w:val="0"/>
                </w:rPr>
                <w:t xml:space="preserve">fda</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1(a)(iii) for the complaint and MDR counts</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ZOLL Medical · 27 of 50 complaints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FDA warning letter · April 30, 2026 </w:t>
            </w:r>
            <w:hyperlink r:id="rId17">
              <w:r w:rsidDel="00000000" w:rsidR="00000000" w:rsidRPr="00000000">
                <w:rPr>
                  <w:b w:val="1"/>
                  <w:bCs w:val="1"/>
                  <w:color w:val="1155cc"/>
                  <w:u w:val="single"/>
                  <w:rtl w:val="0"/>
                </w:rPr>
                <w:t xml:space="preserve">fda</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3(A) for the 731 ventilator assessment</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Medline Industries · One connector tested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FDA warning letter · March 25, 2026 </w:t>
            </w:r>
            <w:hyperlink r:id="rId18">
              <w:r w:rsidDel="00000000" w:rsidR="00000000" w:rsidRPr="00000000">
                <w:rPr>
                  <w:b w:val="1"/>
                  <w:bCs w:val="1"/>
                  <w:color w:val="1155cc"/>
                  <w:u w:val="single"/>
                  <w:rtl w:val="0"/>
                </w:rPr>
                <w:t xml:space="preserve">fda</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3 for design verification and connector coverage</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BD CareFusion · Higher severity complaint information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FDA warning letter · November 22, 2024 </w:t>
            </w:r>
            <w:hyperlink r:id="rId19">
              <w:r w:rsidDel="00000000" w:rsidR="00000000" w:rsidRPr="00000000">
                <w:rPr>
                  <w:b w:val="1"/>
                  <w:bCs w:val="1"/>
                  <w:color w:val="1155cc"/>
                  <w:u w:val="single"/>
                  <w:rtl w:val="0"/>
                </w:rPr>
                <w:t xml:space="preserve">fda</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3 for the MedStation ES System Hazard Analysis</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Meridian Bioscience · 31 complaints after CAPA closure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FDA warning letter · December 22, 2025 </w:t>
            </w:r>
            <w:hyperlink r:id="rId20">
              <w:r w:rsidDel="00000000" w:rsidR="00000000" w:rsidRPr="00000000">
                <w:rPr>
                  <w:b w:val="1"/>
                  <w:bCs w:val="1"/>
                  <w:color w:val="1155cc"/>
                  <w:u w:val="single"/>
                  <w:rtl w:val="0"/>
                </w:rPr>
                <w:t xml:space="preserve">fda</w:t>
              </w:r>
            </w:hyperlink>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1(A) for the 31 complaints; 3(B) for the DFMEA update issue</w:t>
            </w:r>
          </w:p>
        </w:tc>
      </w:tr>
    </w:tbl>
    <w:p w:rsidR="00000000" w:rsidDel="00000000" w:rsidP="00000000" w:rsidRDefault="00000000" w:rsidRPr="00000000" w14:paraId="0000004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sz w:val="28"/>
          <w:szCs w:val="28"/>
          <w:rtl w:val="0"/>
        </w:rPr>
        <w:t xml:space="preserve">2) </w:t>
      </w:r>
      <w:r w:rsidDel="00000000" w:rsidR="00000000" w:rsidRPr="00000000">
        <w:rPr>
          <w:b w:val="1"/>
          <w:bCs w:val="1"/>
          <w:sz w:val="28"/>
          <w:szCs w:val="28"/>
          <w:rtl w:val="0"/>
        </w:rPr>
        <w:t xml:space="preserve">THE ALIGNMENT GAP </w:t>
      </w:r>
      <w:r w:rsidDel="00000000" w:rsidR="00000000" w:rsidRPr="00000000">
        <w:rPr>
          <w:rtl w:val="0"/>
        </w:rPr>
      </w:r>
    </w:p>
    <w:p w:rsidR="00000000" w:rsidDel="00000000" w:rsidP="00000000" w:rsidRDefault="00000000" w:rsidRPr="00000000" w14:paraId="00000048">
      <w:pPr>
        <w:spacing w:after="240" w:before="240" w:lineRule="auto"/>
        <w:rPr>
          <w:b w:val="1"/>
          <w:bCs w:val="1"/>
          <w:sz w:val="28"/>
          <w:szCs w:val="28"/>
        </w:rPr>
      </w:pPr>
      <w:r w:rsidDel="00000000" w:rsidR="00000000" w:rsidRPr="00000000">
        <w:rPr>
          <w:b w:val="1"/>
          <w:bCs w:val="1"/>
          <w:sz w:val="28"/>
          <w:szCs w:val="28"/>
          <w:rtl w:val="0"/>
        </w:rPr>
        <w:t xml:space="preserve">Quality Systems Are in Place. Alignment Is the Hard Part.</w:t>
      </w:r>
    </w:p>
    <w:p w:rsidR="00000000" w:rsidDel="00000000" w:rsidP="00000000" w:rsidRDefault="00000000" w:rsidRPr="00000000" w14:paraId="00000049">
      <w:pPr>
        <w:spacing w:after="240" w:before="240" w:lineRule="auto"/>
        <w:rPr/>
      </w:pPr>
      <w:r w:rsidDel="00000000" w:rsidR="00000000" w:rsidRPr="00000000">
        <w:rPr>
          <w:rtl w:val="0"/>
        </w:rPr>
        <w:t xml:space="preserve">Requirements change. Documents evolve. Evidence accumulates.</w:t>
      </w:r>
    </w:p>
    <w:p w:rsidR="00000000" w:rsidDel="00000000" w:rsidP="00000000" w:rsidRDefault="00000000" w:rsidRPr="00000000" w14:paraId="0000004A">
      <w:pPr>
        <w:spacing w:after="240" w:before="240" w:lineRule="auto"/>
        <w:rPr/>
      </w:pPr>
      <w:r w:rsidDel="00000000" w:rsidR="00000000" w:rsidRPr="00000000">
        <w:rPr>
          <w:rtl w:val="0"/>
        </w:rPr>
        <w:t xml:space="preserve">Procedures, risk files, CAPAs, design control documentation, and training records depend on one another, even across different systems.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When one changes, what else is affected?</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Pr>
        <w:drawing>
          <wp:inline distB="114300" distT="114300" distL="114300" distR="114300">
            <wp:extent cx="5943600" cy="21590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4E">
      <w:pPr>
        <w:spacing w:after="240" w:before="240" w:lineRule="auto"/>
        <w:rPr>
          <w:b w:val="1"/>
          <w:bCs w:val="1"/>
          <w:sz w:val="28"/>
          <w:szCs w:val="28"/>
        </w:rPr>
      </w:pPr>
      <w:r w:rsidDel="00000000" w:rsidR="00000000" w:rsidRPr="00000000">
        <w:rPr>
          <w:b w:val="1"/>
          <w:bCs w:val="1"/>
          <w:sz w:val="28"/>
          <w:szCs w:val="28"/>
          <w:rtl w:val="0"/>
        </w:rPr>
        <w:t xml:space="preserve">The Alignment Gap Dynamic Visual:</w:t>
      </w:r>
    </w:p>
    <w:p w:rsidR="00000000" w:rsidDel="00000000" w:rsidP="00000000" w:rsidRDefault="00000000" w:rsidRPr="00000000" w14:paraId="0000004F">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943600" cy="3162300"/>
            <wp:effectExtent b="0" l="0" r="0" t="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28"/>
          <w:szCs w:val="28"/>
        </w:rPr>
      </w:pPr>
      <w:bookmarkStart w:colFirst="0" w:colLast="0" w:name="_2cfgfutaafst" w:id="7"/>
      <w:bookmarkEnd w:id="7"/>
      <w:r w:rsidDel="00000000" w:rsidR="00000000" w:rsidRPr="00000000">
        <w:rPr>
          <w:b w:val="1"/>
          <w:bCs w:val="1"/>
          <w:sz w:val="28"/>
          <w:szCs w:val="28"/>
          <w:rtl w:val="0"/>
        </w:rPr>
        <w:t xml:space="preserve">3</w:t>
      </w:r>
      <w:r w:rsidDel="00000000" w:rsidR="00000000" w:rsidRPr="00000000">
        <w:rPr>
          <w:b w:val="1"/>
          <w:bCs w:val="1"/>
          <w:sz w:val="28"/>
          <w:szCs w:val="28"/>
          <w:rtl w:val="0"/>
        </w:rPr>
        <w:t xml:space="preserve">) BEYOND EXISTING SYSTEMS</w:t>
      </w:r>
    </w:p>
    <w:p w:rsidR="00000000" w:rsidDel="00000000" w:rsidP="00000000" w:rsidRDefault="00000000" w:rsidRPr="00000000" w14:paraId="00000052">
      <w:pPr>
        <w:pStyle w:val="Heading2"/>
        <w:keepNext w:val="0"/>
        <w:keepLines w:val="0"/>
        <w:spacing w:after="80" w:lineRule="auto"/>
        <w:rPr>
          <w:b w:val="1"/>
          <w:bCs w:val="1"/>
          <w:sz w:val="28"/>
          <w:szCs w:val="28"/>
        </w:rPr>
      </w:pPr>
      <w:bookmarkStart w:colFirst="0" w:colLast="0" w:name="_2cfgfutaafst" w:id="7"/>
      <w:bookmarkEnd w:id="7"/>
      <w:r w:rsidDel="00000000" w:rsidR="00000000" w:rsidRPr="00000000">
        <w:rPr>
          <w:b w:val="1"/>
          <w:bCs w:val="1"/>
          <w:sz w:val="28"/>
          <w:szCs w:val="28"/>
          <w:rtl w:val="0"/>
        </w:rPr>
        <w:t xml:space="preserve">Existing Systems Manage the Information. Alignment Is Still the Challenge.</w:t>
      </w:r>
    </w:p>
    <w:p w:rsidR="00000000" w:rsidDel="00000000" w:rsidP="00000000" w:rsidRDefault="00000000" w:rsidRPr="00000000" w14:paraId="00000053">
      <w:pPr>
        <w:pStyle w:val="Heading2"/>
        <w:keepNext w:val="0"/>
        <w:keepLines w:val="0"/>
        <w:spacing w:after="80" w:lineRule="auto"/>
        <w:rPr>
          <w:sz w:val="22"/>
          <w:szCs w:val="22"/>
        </w:rPr>
      </w:pPr>
      <w:bookmarkStart w:colFirst="0" w:colLast="0" w:name="_sfd7w2esdbpz" w:id="8"/>
      <w:bookmarkEnd w:id="8"/>
      <w:r w:rsidDel="00000000" w:rsidR="00000000" w:rsidRPr="00000000">
        <w:rPr>
          <w:sz w:val="22"/>
          <w:szCs w:val="22"/>
          <w:rtl w:val="0"/>
        </w:rPr>
        <w:t xml:space="preserve">QMS and other quality systems manage documents, records, workflows, and approvals.</w:t>
      </w:r>
    </w:p>
    <w:p w:rsidR="00000000" w:rsidDel="00000000" w:rsidP="00000000" w:rsidRDefault="00000000" w:rsidRPr="00000000" w14:paraId="00000054">
      <w:pPr>
        <w:pStyle w:val="Heading2"/>
        <w:keepNext w:val="0"/>
        <w:keepLines w:val="0"/>
        <w:spacing w:after="80" w:lineRule="auto"/>
        <w:rPr>
          <w:sz w:val="22"/>
          <w:szCs w:val="22"/>
        </w:rPr>
      </w:pPr>
      <w:bookmarkStart w:colFirst="0" w:colLast="0" w:name="_8fo8yau07z2u" w:id="9"/>
      <w:bookmarkEnd w:id="9"/>
      <w:r w:rsidDel="00000000" w:rsidR="00000000" w:rsidRPr="00000000">
        <w:rPr>
          <w:sz w:val="22"/>
          <w:szCs w:val="22"/>
          <w:rtl w:val="0"/>
        </w:rPr>
        <w:t xml:space="preserve">Compliance also depends on how that information relates to applicable requirements and to other documents and records.</w:t>
      </w:r>
    </w:p>
    <w:p w:rsidR="00000000" w:rsidDel="00000000" w:rsidP="00000000" w:rsidRDefault="00000000" w:rsidRPr="00000000" w14:paraId="00000055">
      <w:pPr>
        <w:pStyle w:val="Heading2"/>
        <w:keepNext w:val="0"/>
        <w:keepLines w:val="0"/>
        <w:spacing w:after="80" w:lineRule="auto"/>
        <w:rPr>
          <w:b w:val="1"/>
          <w:bCs w:val="1"/>
          <w:sz w:val="28"/>
          <w:szCs w:val="28"/>
        </w:rPr>
      </w:pPr>
      <w:bookmarkStart w:colFirst="0" w:colLast="0" w:name="_18hi93jf57tl" w:id="10"/>
      <w:bookmarkEnd w:id="10"/>
      <w:r w:rsidDel="00000000" w:rsidR="00000000" w:rsidRPr="00000000">
        <w:rPr>
          <w:b w:val="1"/>
          <w:bCs w:val="1"/>
          <w:sz w:val="22"/>
          <w:szCs w:val="22"/>
          <w:rtl w:val="0"/>
        </w:rPr>
        <w:t xml:space="preserve">Suricat works alongside those systems to surface where related information may no longer line up.</w:t>
      </w:r>
      <w:r w:rsidDel="00000000" w:rsidR="00000000" w:rsidRPr="00000000">
        <w:rPr/>
        <w:drawing>
          <wp:inline distB="114300" distT="114300" distL="114300" distR="114300">
            <wp:extent cx="5943600" cy="215900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159000"/>
                    </a:xfrm>
                    <a:prstGeom prst="rect"/>
                    <a:ln/>
                  </pic:spPr>
                </pic:pic>
              </a:graphicData>
            </a:graphic>
          </wp:inline>
        </w:drawing>
      </w:r>
      <w:r w:rsidDel="00000000" w:rsidR="00000000" w:rsidRPr="00000000">
        <w:rPr>
          <w:b w:val="1"/>
          <w:bCs w:val="1"/>
          <w:sz w:val="28"/>
          <w:szCs w:val="28"/>
          <w:rtl w:val="0"/>
        </w:rPr>
        <w:t xml:space="preserve">BEYOND EXISTING SYSTEMS </w:t>
      </w:r>
      <w:r w:rsidDel="00000000" w:rsidR="00000000" w:rsidRPr="00000000">
        <w:rPr>
          <w:b w:val="1"/>
          <w:bCs w:val="1"/>
          <w:sz w:val="28"/>
          <w:szCs w:val="28"/>
          <w:rtl w:val="0"/>
        </w:rPr>
        <w:t xml:space="preserve">Dynamic Visual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highlight w:val="white"/>
        </w:rPr>
      </w:pPr>
      <w:r w:rsidDel="00000000" w:rsidR="00000000" w:rsidRPr="00000000">
        <w:rPr>
          <w:highlight w:val="white"/>
        </w:rPr>
        <w:drawing>
          <wp:inline distB="114300" distT="114300" distL="114300" distR="114300">
            <wp:extent cx="5367338" cy="2863227"/>
            <wp:effectExtent b="0" l="0" r="0" t="0"/>
            <wp:docPr id="1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367338" cy="286322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0" w:firstLine="0"/>
        <w:rPr>
          <w:b w:val="1"/>
          <w:bCs w:val="1"/>
          <w:sz w:val="28"/>
          <w:szCs w:val="28"/>
        </w:rPr>
      </w:pPr>
      <w:r w:rsidDel="00000000" w:rsidR="00000000" w:rsidRPr="00000000">
        <w:rPr>
          <w:b w:val="1"/>
          <w:bCs w:val="1"/>
          <w:sz w:val="28"/>
          <w:szCs w:val="28"/>
          <w:rtl w:val="0"/>
        </w:rPr>
        <w:t xml:space="preserve">4</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BUILT FOR REGULATED ENVIRONMENTS</w:t>
      </w:r>
    </w:p>
    <w:p w:rsidR="00000000" w:rsidDel="00000000" w:rsidP="00000000" w:rsidRDefault="00000000" w:rsidRPr="00000000" w14:paraId="00000059">
      <w:pPr>
        <w:spacing w:after="240" w:before="240" w:lineRule="auto"/>
        <w:ind w:left="0" w:right="600" w:firstLine="0"/>
        <w:rPr>
          <w:b w:val="1"/>
          <w:bCs w:val="1"/>
        </w:rPr>
      </w:pPr>
      <w:r w:rsidDel="00000000" w:rsidR="00000000" w:rsidRPr="00000000">
        <w:rPr>
          <w:b w:val="1"/>
          <w:bCs w:val="1"/>
          <w:rtl w:val="0"/>
        </w:rPr>
        <w:br w:type="textWrapping"/>
      </w:r>
      <w:r w:rsidDel="00000000" w:rsidR="00000000" w:rsidRPr="00000000">
        <w:rPr>
          <w:b w:val="1"/>
          <w:bCs w:val="1"/>
          <w:sz w:val="28"/>
          <w:szCs w:val="28"/>
          <w:rtl w:val="0"/>
        </w:rPr>
        <w:t xml:space="preserve">Intelligence Without Giving Up Control.</w:t>
      </w:r>
      <w:r w:rsidDel="00000000" w:rsidR="00000000" w:rsidRPr="00000000">
        <w:rPr>
          <w:rtl w:val="0"/>
        </w:rPr>
      </w:r>
    </w:p>
    <w:p w:rsidR="00000000" w:rsidDel="00000000" w:rsidP="00000000" w:rsidRDefault="00000000" w:rsidRPr="00000000" w14:paraId="0000005A">
      <w:pPr>
        <w:spacing w:after="240" w:before="240" w:lineRule="auto"/>
        <w:ind w:left="0" w:right="600" w:firstLine="0"/>
        <w:rPr/>
      </w:pPr>
      <w:r w:rsidDel="00000000" w:rsidR="00000000" w:rsidRPr="00000000">
        <w:rPr>
          <w:rtl w:val="0"/>
        </w:rPr>
        <w:t xml:space="preserve">Suricat fits into existing quality and regulatory environments while keeping QA and RA professionals in control.</w:t>
      </w:r>
    </w:p>
    <w:p w:rsidR="00000000" w:rsidDel="00000000" w:rsidP="00000000" w:rsidRDefault="00000000" w:rsidRPr="00000000" w14:paraId="0000005B">
      <w:pPr>
        <w:spacing w:after="240" w:before="240" w:lineRule="auto"/>
        <w:ind w:left="0" w:right="600" w:firstLine="0"/>
        <w:rPr/>
      </w:pPr>
      <w:r w:rsidDel="00000000" w:rsidR="00000000" w:rsidRPr="00000000">
        <w:rPr>
          <w:b w:val="1"/>
          <w:bCs w:val="1"/>
          <w:rtl w:val="0"/>
        </w:rPr>
        <w:t xml:space="preserve">Human Accountability</w:t>
        <w:br w:type="textWrapping"/>
      </w:r>
      <w:r w:rsidDel="00000000" w:rsidR="00000000" w:rsidRPr="00000000">
        <w:rPr>
          <w:rtl w:val="0"/>
        </w:rPr>
        <w:t xml:space="preserve">Suricat identifies potential compliance issues and links each one to its source evidence. QA and RA professionals review each potential issue, verify the evidence, and decide what to do. Responsibility for every decision remains with them.</w:t>
      </w:r>
    </w:p>
    <w:p w:rsidR="00000000" w:rsidDel="00000000" w:rsidP="00000000" w:rsidRDefault="00000000" w:rsidRPr="00000000" w14:paraId="0000005C">
      <w:pPr>
        <w:spacing w:after="240" w:before="240" w:lineRule="auto"/>
        <w:ind w:left="0" w:right="600" w:firstLine="0"/>
        <w:rPr/>
      </w:pPr>
      <w:r w:rsidDel="00000000" w:rsidR="00000000" w:rsidRPr="00000000">
        <w:rPr>
          <w:b w:val="1"/>
          <w:bCs w:val="1"/>
          <w:rtl w:val="0"/>
        </w:rPr>
        <w:t xml:space="preserve">No Rip and Replace</w:t>
        <w:br w:type="textWrapping"/>
      </w:r>
      <w:r w:rsidDel="00000000" w:rsidR="00000000" w:rsidRPr="00000000">
        <w:rPr>
          <w:rtl w:val="0"/>
        </w:rPr>
        <w:t xml:space="preserve">Existing QMS and document control systems stay in place. Suricat works alongside those systems and established processes.</w:t>
      </w:r>
    </w:p>
    <w:p w:rsidR="00000000" w:rsidDel="00000000" w:rsidP="00000000" w:rsidRDefault="00000000" w:rsidRPr="00000000" w14:paraId="0000005D">
      <w:pPr>
        <w:spacing w:after="240" w:before="240" w:lineRule="auto"/>
        <w:ind w:left="0" w:right="600" w:firstLine="0"/>
        <w:rPr/>
      </w:pPr>
      <w:r w:rsidDel="00000000" w:rsidR="00000000" w:rsidRPr="00000000">
        <w:rPr>
          <w:b w:val="1"/>
          <w:bCs w:val="1"/>
          <w:rtl w:val="0"/>
        </w:rPr>
        <w:t xml:space="preserve">Read Only by Design</w:t>
        <w:br w:type="textWrapping"/>
      </w:r>
      <w:r w:rsidDel="00000000" w:rsidR="00000000" w:rsidRPr="00000000">
        <w:rPr>
          <w:rtl w:val="0"/>
        </w:rPr>
        <w:t xml:space="preserve">Suricat evaluates compliance information without modifying controlled documents or source records. Existing approval processes and document controls remain intact.</w:t>
      </w:r>
    </w:p>
    <w:p w:rsidR="00000000" w:rsidDel="00000000" w:rsidP="00000000" w:rsidRDefault="00000000" w:rsidRPr="00000000" w14:paraId="0000005E">
      <w:pPr>
        <w:spacing w:after="240" w:before="240" w:lineRule="auto"/>
        <w:ind w:left="0" w:right="600" w:firstLine="0"/>
        <w:rPr/>
      </w:pPr>
      <w:r w:rsidDel="00000000" w:rsidR="00000000" w:rsidRPr="00000000">
        <w:rPr>
          <w:b w:val="1"/>
          <w:bCs w:val="1"/>
          <w:rtl w:val="0"/>
        </w:rPr>
        <w:t xml:space="preserve">Data Ownership</w:t>
        <w:br w:type="textWrapping"/>
      </w:r>
      <w:r w:rsidDel="00000000" w:rsidR="00000000" w:rsidRPr="00000000">
        <w:rPr>
          <w:rtl w:val="0"/>
        </w:rPr>
        <w:t xml:space="preserve">Documents, records, and compliance information remain the customer's property. Customer data is not shared with other customers or used to train AI models without explicit written consent.</w:t>
      </w:r>
    </w:p>
    <w:p w:rsidR="00000000" w:rsidDel="00000000" w:rsidP="00000000" w:rsidRDefault="00000000" w:rsidRPr="00000000" w14:paraId="0000005F">
      <w:pPr>
        <w:spacing w:after="240" w:before="240" w:lineRule="auto"/>
        <w:ind w:left="0" w:right="600" w:firstLine="0"/>
        <w:rPr/>
      </w:pPr>
      <w:r w:rsidDel="00000000" w:rsidR="00000000" w:rsidRPr="00000000">
        <w:rPr>
          <w:b w:val="1"/>
          <w:bCs w:val="1"/>
          <w:rtl w:val="0"/>
        </w:rPr>
        <w:t xml:space="preserve">Dedicated Instance</w:t>
        <w:br w:type="textWrapping"/>
      </w:r>
      <w:r w:rsidDel="00000000" w:rsidR="00000000" w:rsidRPr="00000000">
        <w:rPr>
          <w:rtl w:val="0"/>
        </w:rPr>
        <w:t xml:space="preserve">Each customer receives a dedicated Suricat instance, keeping compliance information isolated from other organizations.</w:t>
      </w:r>
    </w:p>
    <w:p w:rsidR="00000000" w:rsidDel="00000000" w:rsidP="00000000" w:rsidRDefault="00000000" w:rsidRPr="00000000" w14:paraId="00000060">
      <w:pPr>
        <w:spacing w:after="240" w:before="240" w:lineRule="auto"/>
        <w:ind w:left="0" w:right="600" w:firstLine="0"/>
        <w:rPr>
          <w:b w:val="1"/>
          <w:bCs w:val="1"/>
          <w:sz w:val="28"/>
          <w:szCs w:val="28"/>
        </w:rPr>
      </w:pPr>
      <w:r w:rsidDel="00000000" w:rsidR="00000000" w:rsidRPr="00000000">
        <w:rPr>
          <w:b w:val="1"/>
          <w:bCs w:val="1"/>
          <w:sz w:val="28"/>
          <w:szCs w:val="28"/>
        </w:rPr>
        <w:drawing>
          <wp:inline distB="114300" distT="114300" distL="114300" distR="114300">
            <wp:extent cx="5943600" cy="4495800"/>
            <wp:effectExtent b="0" l="0" r="0" t="0"/>
            <wp:docPr id="1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spacing w:after="240" w:before="240" w:lineRule="auto"/>
        <w:rPr>
          <w:b w:val="1"/>
          <w:bCs w:val="1"/>
          <w:sz w:val="28"/>
          <w:szCs w:val="28"/>
          <w:highlight w:val="white"/>
        </w:rPr>
      </w:pPr>
      <w:r w:rsidDel="00000000" w:rsidR="00000000" w:rsidRPr="00000000">
        <w:rPr>
          <w:b w:val="1"/>
          <w:bCs w:val="1"/>
          <w:sz w:val="28"/>
          <w:szCs w:val="28"/>
          <w:highlight w:val="white"/>
          <w:rtl w:val="0"/>
        </w:rPr>
        <w:t xml:space="preserve">WHY SURICAT (CLOSING PUNCHLINE)</w:t>
      </w:r>
    </w:p>
    <w:p w:rsidR="00000000" w:rsidDel="00000000" w:rsidP="00000000" w:rsidRDefault="00000000" w:rsidRPr="00000000" w14:paraId="00000063">
      <w:pPr>
        <w:pStyle w:val="Heading1"/>
        <w:keepNext w:val="0"/>
        <w:keepLines w:val="0"/>
        <w:spacing w:before="480" w:lineRule="auto"/>
        <w:rPr>
          <w:b w:val="1"/>
          <w:bCs w:val="1"/>
          <w:sz w:val="22"/>
          <w:szCs w:val="22"/>
        </w:rPr>
      </w:pPr>
      <w:bookmarkStart w:colFirst="0" w:colLast="0" w:name="_ubh4acisjwt1" w:id="11"/>
      <w:bookmarkEnd w:id="11"/>
      <w:r w:rsidDel="00000000" w:rsidR="00000000" w:rsidRPr="00000000">
        <w:rPr>
          <w:b w:val="1"/>
          <w:bCs w:val="1"/>
          <w:sz w:val="22"/>
          <w:szCs w:val="22"/>
          <w:rtl w:val="0"/>
        </w:rPr>
        <w:t xml:space="preserve">Know What Needs Attention. Before It Becomes a Finding.</w:t>
      </w:r>
    </w:p>
    <w:p w:rsidR="00000000" w:rsidDel="00000000" w:rsidP="00000000" w:rsidRDefault="00000000" w:rsidRPr="00000000" w14:paraId="00000064">
      <w:pPr>
        <w:spacing w:after="240" w:before="240" w:lineRule="auto"/>
        <w:rPr/>
      </w:pPr>
      <w:r w:rsidDel="00000000" w:rsidR="00000000" w:rsidRPr="00000000">
        <w:rPr>
          <w:rtl w:val="0"/>
        </w:rPr>
        <w:t xml:space="preserve">Gaps and misalignments rarely announce themselves. Suricat surfaces potential issues with the source evidence behind them, so QA and RA teams can review, verify, and decide.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Less time searching. More confidence in every review.</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5rv4w0fv6fto" w:id="12"/>
      <w:bookmarkEnd w:id="12"/>
      <w:r w:rsidDel="00000000" w:rsidR="00000000" w:rsidRPr="00000000">
        <w:rPr>
          <w:b w:val="1"/>
          <w:bCs w:val="1"/>
          <w:color w:val="000000"/>
          <w:sz w:val="26"/>
          <w:szCs w:val="26"/>
          <w:rtl w:val="0"/>
        </w:rPr>
        <w:t xml:space="preserve">Ready to See Suricat in Action?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[Join as a Design Partner]</w:t>
      </w:r>
      <w:r w:rsidDel="00000000" w:rsidR="00000000" w:rsidRPr="00000000">
        <w:rPr>
          <w:rtl w:val="0"/>
        </w:rPr>
        <w:t xml:space="preserve">  </w:t>
      </w:r>
      <w:r w:rsidDel="00000000" w:rsidR="00000000" w:rsidRPr="00000000">
        <w:rPr>
          <w:b w:val="1"/>
          <w:bCs w:val="1"/>
          <w:rtl w:val="0"/>
        </w:rPr>
        <w:t xml:space="preserve">[Request a Free Pilot ] </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Got Questions?</w:t>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5100638" cy="1700213"/>
            <wp:effectExtent b="0" l="0" r="0" t="0"/>
            <wp:docPr id="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100638"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sz w:val="28"/>
          <w:szCs w:val="28"/>
        </w:rPr>
      </w:pPr>
      <w:r w:rsidDel="00000000" w:rsidR="00000000" w:rsidRPr="00000000">
        <w:rPr>
          <w:b w:val="1"/>
          <w:bCs w:val="1"/>
          <w:sz w:val="28"/>
          <w:szCs w:val="28"/>
          <w:rtl w:val="0"/>
        </w:rPr>
        <w:t xml:space="preserve">DESIGN PARTNER BAND</w:t>
      </w:r>
      <w:r w:rsidDel="00000000" w:rsidR="00000000" w:rsidRPr="00000000">
        <w:rPr>
          <w:rtl w:val="0"/>
        </w:rPr>
      </w:r>
    </w:p>
    <w:p w:rsidR="00000000" w:rsidDel="00000000" w:rsidP="00000000" w:rsidRDefault="00000000" w:rsidRPr="00000000" w14:paraId="0000006B">
      <w:pPr>
        <w:ind w:left="0" w:firstLine="0"/>
        <w:rPr>
          <w:b w:val="1"/>
          <w:bCs w:val="1"/>
          <w:color w:val="0000ff"/>
          <w:sz w:val="36"/>
          <w:szCs w:val="36"/>
        </w:rPr>
      </w:pPr>
      <w:r w:rsidDel="00000000" w:rsidR="00000000" w:rsidRPr="00000000">
        <w:rPr/>
        <w:drawing>
          <wp:inline distB="114300" distT="114300" distL="114300" distR="114300">
            <wp:extent cx="5943600" cy="1981200"/>
            <wp:effectExtent b="0" l="0" r="0" t="0"/>
            <wp:docPr id="1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b w:val="1"/>
          <w:bCs w:val="1"/>
          <w:color w:val="0000ff"/>
        </w:rPr>
      </w:pPr>
      <w:r w:rsidDel="00000000" w:rsidR="00000000" w:rsidRPr="00000000">
        <w:rPr>
          <w:rtl w:val="0"/>
        </w:rPr>
      </w:r>
    </w:p>
    <w:p w:rsidR="00000000" w:rsidDel="00000000" w:rsidP="00000000" w:rsidRDefault="00000000" w:rsidRPr="00000000" w14:paraId="0000006D">
      <w:pPr>
        <w:ind w:left="0" w:firstLine="0"/>
        <w:rPr>
          <w:b w:val="1"/>
          <w:bCs w:val="1"/>
          <w:sz w:val="36"/>
          <w:szCs w:val="36"/>
        </w:rPr>
      </w:pPr>
      <w:r w:rsidDel="00000000" w:rsidR="00000000" w:rsidRPr="00000000">
        <w:rPr>
          <w:rtl w:val="0"/>
        </w:rPr>
      </w:r>
    </w:p>
    <w:p w:rsidR="00000000" w:rsidDel="00000000" w:rsidP="00000000" w:rsidRDefault="00000000" w:rsidRPr="00000000" w14:paraId="0000006E">
      <w:pPr>
        <w:ind w:left="0" w:firstLine="0"/>
        <w:rPr>
          <w:b w:val="1"/>
          <w:bCs w:val="1"/>
          <w:sz w:val="28"/>
          <w:szCs w:val="28"/>
        </w:rPr>
      </w:pPr>
      <w:r w:rsidDel="00000000" w:rsidR="00000000" w:rsidRPr="00000000">
        <w:rPr>
          <w:rtl w:val="0"/>
        </w:rPr>
      </w:r>
    </w:p>
    <w:p w:rsidR="00000000" w:rsidDel="00000000" w:rsidP="00000000" w:rsidRDefault="00000000" w:rsidRPr="00000000" w14:paraId="0000006F">
      <w:pPr>
        <w:ind w:left="0" w:firstLine="0"/>
        <w:rPr>
          <w:b w:val="1"/>
          <w:bCs w:val="1"/>
          <w:sz w:val="28"/>
          <w:szCs w:val="28"/>
        </w:rPr>
      </w:pPr>
      <w:r w:rsidDel="00000000" w:rsidR="00000000" w:rsidRPr="00000000">
        <w:rPr>
          <w:rtl w:val="0"/>
        </w:rPr>
      </w:r>
    </w:p>
    <w:p w:rsidR="00000000" w:rsidDel="00000000" w:rsidP="00000000" w:rsidRDefault="00000000" w:rsidRPr="00000000" w14:paraId="00000070">
      <w:pPr>
        <w:ind w:left="0" w:firstLine="0"/>
        <w:rPr>
          <w:b w:val="1"/>
          <w:bCs w:val="1"/>
          <w:sz w:val="28"/>
          <w:szCs w:val="28"/>
        </w:rPr>
      </w:pPr>
      <w:r w:rsidDel="00000000" w:rsidR="00000000" w:rsidRPr="00000000">
        <w:rPr>
          <w:b w:val="1"/>
          <w:bCs w:val="1"/>
          <w:sz w:val="28"/>
          <w:szCs w:val="28"/>
          <w:rtl w:val="0"/>
        </w:rPr>
        <w:t xml:space="preserve">FOOTER</w:t>
      </w:r>
    </w:p>
    <w:p w:rsidR="00000000" w:rsidDel="00000000" w:rsidP="00000000" w:rsidRDefault="00000000" w:rsidRPr="00000000" w14:paraId="00000071">
      <w:pPr>
        <w:ind w:left="0" w:firstLine="0"/>
        <w:rPr>
          <w:b w:val="1"/>
          <w:bCs w:val="1"/>
          <w:sz w:val="28"/>
          <w:szCs w:val="28"/>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drawing>
          <wp:inline distB="114300" distT="114300" distL="114300" distR="114300">
            <wp:extent cx="5943600" cy="1943100"/>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da.gov/inspections-compliance-enforcement-and-criminal-investigations/warning-letters/meridian-bioscience-inc-720826-12222025" TargetMode="External"/><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image" Target="media/image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1.png"/><Relationship Id="rId25" Type="http://schemas.openxmlformats.org/officeDocument/2006/relationships/image" Target="media/image7.png"/><Relationship Id="rId28" Type="http://schemas.openxmlformats.org/officeDocument/2006/relationships/image" Target="media/image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3.png"/><Relationship Id="rId11" Type="http://schemas.openxmlformats.org/officeDocument/2006/relationships/hyperlink" Target="https://www.mckinsey.com/industries/life-sciences/our-insights/capturing-the-value-of-good-quality-in-medical-devices" TargetMode="External"/><Relationship Id="rId10" Type="http://schemas.openxmlformats.org/officeDocument/2006/relationships/hyperlink" Target="https://www.mckinsey.com/industries/life-sciences/our-insights/capturing-the-value-of-good-quality-in-medical-devices" TargetMode="External"/><Relationship Id="rId13" Type="http://schemas.openxmlformats.org/officeDocument/2006/relationships/hyperlink" Target="https://www.mckinsey.com/industries/life-sciences/our-insights/capturing-the-value-of-good-quality-in-medical-devices" TargetMode="External"/><Relationship Id="rId12" Type="http://schemas.openxmlformats.org/officeDocument/2006/relationships/hyperlink" Target="https://www.mckinsey.com/industries/life-sciences/our-insights/capturing-the-value-of-good-quality-in-medical-devices" TargetMode="External"/><Relationship Id="rId15" Type="http://schemas.openxmlformats.org/officeDocument/2006/relationships/image" Target="media/image3.png"/><Relationship Id="rId14" Type="http://schemas.openxmlformats.org/officeDocument/2006/relationships/hyperlink" Target="https://www.deloitte.com/de/de/services/risk-advisory/analysis/medtech-quality-costs.html" TargetMode="External"/><Relationship Id="rId17" Type="http://schemas.openxmlformats.org/officeDocument/2006/relationships/hyperlink" Target="https://www.fda.gov/inspections-compliance-enforcement-and-criminal-investigations/warning-letters/zoll-medical-corporation-711320-04302026" TargetMode="External"/><Relationship Id="rId16" Type="http://schemas.openxmlformats.org/officeDocument/2006/relationships/hyperlink" Target="https://www.fda.gov/inspections-compliance-enforcement-and-criminal-investigations/warning-letters/medtronic-inc-617539-12092021" TargetMode="External"/><Relationship Id="rId19" Type="http://schemas.openxmlformats.org/officeDocument/2006/relationships/hyperlink" Target="https://www.fda.gov/inspections-compliance-enforcement-and-criminal-investigations/warning-letters/becton-dickinson-and-companycarefusion-303-inc-691601-11222024" TargetMode="External"/><Relationship Id="rId18" Type="http://schemas.openxmlformats.org/officeDocument/2006/relationships/hyperlink" Target="https://www.fda.gov/inspections-compliance-enforcement-and-criminal-investigations/warning-letters/medline-industries-lp-723866-0325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