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kep178881nw" w:id="0"/>
      <w:bookmarkEnd w:id="0"/>
      <w:r w:rsidDel="00000000" w:rsidR="00000000" w:rsidRPr="00000000">
        <w:rPr>
          <w:b w:val="1"/>
          <w:bCs w:val="1"/>
          <w:rtl w:val="0"/>
        </w:rPr>
        <w:t xml:space="preserve"> </w:t>
      </w:r>
      <w:r w:rsidDel="00000000" w:rsidR="00000000" w:rsidRPr="00000000">
        <w:rPr>
          <w:b w:val="1"/>
          <w:bCs w:val="1"/>
          <w:rtl w:val="0"/>
        </w:rPr>
        <w:t xml:space="preserve">Suricat Website Redesign (Landing Page)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TOP BANNER:</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6062663" cy="28575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062663"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Navigation BAR:</w:t>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943600" cy="8509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8"/>
          <w:szCs w:val="28"/>
        </w:rPr>
      </w:pPr>
      <w:bookmarkStart w:colFirst="0" w:colLast="0" w:name="_ba2soljunigh" w:id="1"/>
      <w:bookmarkEnd w:id="1"/>
      <w:r w:rsidDel="00000000" w:rsidR="00000000" w:rsidRPr="00000000">
        <w:rPr>
          <w:b w:val="1"/>
          <w:bCs w:val="1"/>
          <w:sz w:val="28"/>
          <w:szCs w:val="28"/>
          <w:rtl w:val="0"/>
        </w:rPr>
        <w:t xml:space="preserve">CTAs:</w:t>
      </w:r>
    </w:p>
    <w:p w:rsidR="00000000" w:rsidDel="00000000" w:rsidP="00000000" w:rsidRDefault="00000000" w:rsidRPr="00000000" w14:paraId="00000008">
      <w:pPr>
        <w:rPr/>
      </w:pPr>
      <w:r w:rsidDel="00000000" w:rsidR="00000000" w:rsidRPr="00000000">
        <w:rPr>
          <w:rtl w:val="0"/>
        </w:rPr>
        <w:t xml:space="preserve">Only three CTAs </w:t>
      </w:r>
    </w:p>
    <w:p w:rsidR="00000000" w:rsidDel="00000000" w:rsidP="00000000" w:rsidRDefault="00000000" w:rsidRPr="00000000" w14:paraId="00000009">
      <w:pPr>
        <w:rPr>
          <w:b w:val="1"/>
          <w:bCs w:val="1"/>
        </w:rPr>
      </w:pPr>
      <w:r w:rsidDel="00000000" w:rsidR="00000000" w:rsidRPr="00000000">
        <w:rPr>
          <w:b w:val="1"/>
          <w:bCs w:val="1"/>
          <w:rtl w:val="0"/>
        </w:rPr>
        <w:t xml:space="preserve">1) Join as a Design Partner </w:t>
      </w:r>
    </w:p>
    <w:p w:rsidR="00000000" w:rsidDel="00000000" w:rsidP="00000000" w:rsidRDefault="00000000" w:rsidRPr="00000000" w14:paraId="0000000A">
      <w:pPr>
        <w:rPr>
          <w:b w:val="1"/>
          <w:bCs w:val="1"/>
        </w:rPr>
      </w:pPr>
      <w:r w:rsidDel="00000000" w:rsidR="00000000" w:rsidRPr="00000000">
        <w:rPr>
          <w:b w:val="1"/>
          <w:bCs w:val="1"/>
          <w:rtl w:val="0"/>
        </w:rPr>
        <w:t xml:space="preserve">2) Request a Pilot </w:t>
      </w:r>
    </w:p>
    <w:p w:rsidR="00000000" w:rsidDel="00000000" w:rsidP="00000000" w:rsidRDefault="00000000" w:rsidRPr="00000000" w14:paraId="0000000B">
      <w:pPr>
        <w:rPr>
          <w:b w:val="1"/>
          <w:bCs w:val="1"/>
        </w:rPr>
      </w:pPr>
      <w:r w:rsidDel="00000000" w:rsidR="00000000" w:rsidRPr="00000000">
        <w:rPr>
          <w:b w:val="1"/>
          <w:bCs w:val="1"/>
          <w:rtl w:val="0"/>
        </w:rPr>
        <w:t xml:space="preserve">3) Talk to Us</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pPr>
      <w:bookmarkStart w:colFirst="0" w:colLast="0" w:name="_nso5ewpvv46m" w:id="2"/>
      <w:bookmarkEnd w:id="2"/>
      <w:r w:rsidDel="00000000" w:rsidR="00000000" w:rsidRPr="00000000">
        <w:rPr>
          <w:b w:val="1"/>
          <w:bCs w:val="1"/>
          <w:sz w:val="28"/>
          <w:szCs w:val="28"/>
          <w:rtl w:val="0"/>
        </w:rPr>
        <w:t xml:space="preserve">Why Suricat Navigation Dropdown:</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1) THE COST OF MISALIGNMENT</w:t>
        <w:tab/>
        <w:tab/>
        <w:tab/>
      </w:r>
      <w:r w:rsidDel="00000000" w:rsidR="00000000" w:rsidRPr="00000000">
        <w:rPr>
          <w:b w:val="1"/>
          <w:bCs w:val="1"/>
          <w:rtl w:val="0"/>
        </w:rPr>
        <w:t xml:space="preserve">2) WHY THIS MATTERS NOW</w:t>
      </w:r>
    </w:p>
    <w:p w:rsidR="00000000" w:rsidDel="00000000" w:rsidP="00000000" w:rsidRDefault="00000000" w:rsidRPr="00000000" w14:paraId="0000000E">
      <w:pPr>
        <w:rPr>
          <w:b w:val="1"/>
          <w:bCs w:val="1"/>
        </w:rPr>
      </w:pPr>
      <w:r w:rsidDel="00000000" w:rsidR="00000000" w:rsidRPr="00000000">
        <w:rPr>
          <w:b w:val="1"/>
          <w:bCs w:val="1"/>
          <w:rtl w:val="0"/>
        </w:rPr>
        <w:t xml:space="preserve">3) THE ALIGNMENT GAP</w:t>
      </w:r>
      <w:r w:rsidDel="00000000" w:rsidR="00000000" w:rsidRPr="00000000">
        <w:rPr>
          <w:b w:val="1"/>
          <w:bCs w:val="1"/>
          <w:rtl w:val="0"/>
        </w:rPr>
        <w:tab/>
        <w:tab/>
        <w:tab/>
        <w:tab/>
        <w:t xml:space="preserve">4) BEYOND EXISTING SYSTEMS</w:t>
      </w:r>
    </w:p>
    <w:p w:rsidR="00000000" w:rsidDel="00000000" w:rsidP="00000000" w:rsidRDefault="00000000" w:rsidRPr="00000000" w14:paraId="0000000F">
      <w:pPr>
        <w:rPr>
          <w:b w:val="1"/>
          <w:bCs w:val="1"/>
        </w:rPr>
      </w:pPr>
      <w:r w:rsidDel="00000000" w:rsidR="00000000" w:rsidRPr="00000000">
        <w:rPr>
          <w:b w:val="1"/>
          <w:bCs w:val="1"/>
          <w:rtl w:val="0"/>
        </w:rPr>
        <w:t xml:space="preserve">5) BUILT FOR REGULATED ENVIRONMENTS</w:t>
        <w:tab/>
        <w:t xml:space="preserve">6) WHY SURICAT</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28"/>
          <w:szCs w:val="28"/>
        </w:rPr>
      </w:pPr>
      <w:bookmarkStart w:colFirst="0" w:colLast="0" w:name="_dydy8tkwz2ir" w:id="3"/>
      <w:bookmarkEnd w:id="3"/>
      <w:r w:rsidDel="00000000" w:rsidR="00000000" w:rsidRPr="00000000">
        <w:rPr>
          <w:b w:val="1"/>
          <w:bCs w:val="1"/>
          <w:sz w:val="28"/>
          <w:szCs w:val="28"/>
          <w:rtl w:val="0"/>
        </w:rPr>
        <w:t xml:space="preserve">Hero Section Message:</w:t>
      </w:r>
    </w:p>
    <w:p w:rsidR="00000000" w:rsidDel="00000000" w:rsidP="00000000" w:rsidRDefault="00000000" w:rsidRPr="00000000" w14:paraId="00000011">
      <w:pPr>
        <w:pStyle w:val="Heading1"/>
        <w:keepNext w:val="0"/>
        <w:keepLines w:val="0"/>
        <w:spacing w:before="480" w:lineRule="auto"/>
        <w:rPr>
          <w:b w:val="1"/>
          <w:bCs w:val="1"/>
          <w:sz w:val="28"/>
          <w:szCs w:val="28"/>
        </w:rPr>
      </w:pPr>
      <w:bookmarkStart w:colFirst="0" w:colLast="0" w:name="_rrx9wwhts8gd" w:id="4"/>
      <w:bookmarkEnd w:id="4"/>
      <w:r w:rsidDel="00000000" w:rsidR="00000000" w:rsidRPr="00000000">
        <w:rPr>
          <w:b w:val="1"/>
          <w:bCs w:val="1"/>
          <w:sz w:val="28"/>
          <w:szCs w:val="28"/>
          <w:rtl w:val="0"/>
        </w:rPr>
        <w:t xml:space="preserve">The Sentinel for Compliance Intelligence</w:t>
      </w:r>
    </w:p>
    <w:p w:rsidR="00000000" w:rsidDel="00000000" w:rsidP="00000000" w:rsidRDefault="00000000" w:rsidRPr="00000000" w14:paraId="00000012">
      <w:pPr>
        <w:spacing w:after="240" w:before="240" w:lineRule="auto"/>
        <w:rPr>
          <w:color w:val="222222"/>
        </w:rPr>
      </w:pPr>
      <w:r w:rsidDel="00000000" w:rsidR="00000000" w:rsidRPr="00000000">
        <w:rPr>
          <w:color w:val="9900ff"/>
          <w:rtl w:val="0"/>
        </w:rPr>
        <w:t xml:space="preserve">Suricat is an </w:t>
      </w:r>
      <w:r w:rsidDel="00000000" w:rsidR="00000000" w:rsidRPr="00000000">
        <w:rPr>
          <w:b w:val="1"/>
          <w:bCs w:val="1"/>
          <w:color w:val="9900ff"/>
          <w:rtl w:val="0"/>
        </w:rPr>
        <w:t xml:space="preserve">AI-powered Compliance Intelligence </w:t>
      </w:r>
      <w:r w:rsidDel="00000000" w:rsidR="00000000" w:rsidRPr="00000000">
        <w:rPr>
          <w:color w:val="9900ff"/>
          <w:rtl w:val="0"/>
        </w:rPr>
        <w:t xml:space="preserve">platform</w:t>
      </w:r>
      <w:r w:rsidDel="00000000" w:rsidR="00000000" w:rsidRPr="00000000">
        <w:rPr>
          <w:color w:val="222222"/>
          <w:rtl w:val="0"/>
        </w:rPr>
        <w:t xml:space="preserve"> that works alongside existing QMS and other quality systems to uncover potential compliance gaps, quality issues, and misalignments across documents and records. Every issue is traced to its source, helping QA/RA teams review and address it before it becomes a finding.</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9r8ptmade098"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color w:val="222222"/>
        </w:rPr>
      </w:pPr>
      <w:bookmarkStart w:colFirst="0" w:colLast="0" w:name="_piervmyr0vgf" w:id="6"/>
      <w:bookmarkEnd w:id="6"/>
      <w:r w:rsidDel="00000000" w:rsidR="00000000" w:rsidRPr="00000000">
        <w:rPr>
          <w:b w:val="1"/>
          <w:bCs w:val="1"/>
          <w:sz w:val="28"/>
          <w:szCs w:val="28"/>
          <w:rtl w:val="0"/>
        </w:rPr>
        <w:t xml:space="preserve">Hero Visual:</w:t>
      </w: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highlight w:val="white"/>
        </w:rPr>
        <w:drawing>
          <wp:inline distB="114300" distT="114300" distL="114300" distR="114300">
            <wp:extent cx="5462588" cy="3618964"/>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62588" cy="361896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46"/>
          <w:szCs w:val="46"/>
        </w:rPr>
      </w:pPr>
      <w:bookmarkStart w:colFirst="0" w:colLast="0" w:name="_oru0metglijz" w:id="7"/>
      <w:bookmarkEnd w:id="7"/>
      <w:r w:rsidDel="00000000" w:rsidR="00000000" w:rsidRPr="00000000">
        <w:rPr>
          <w:b w:val="1"/>
          <w:bCs w:val="1"/>
          <w:sz w:val="28"/>
          <w:szCs w:val="28"/>
          <w:rtl w:val="0"/>
        </w:rPr>
        <w:t xml:space="preserve">1</w:t>
      </w:r>
      <w:r w:rsidDel="00000000" w:rsidR="00000000" w:rsidRPr="00000000">
        <w:rPr>
          <w:b w:val="1"/>
          <w:bCs w:val="1"/>
          <w:sz w:val="28"/>
          <w:szCs w:val="28"/>
          <w:rtl w:val="0"/>
        </w:rPr>
        <w:t xml:space="preserve">) THE COST OF MISALIGNMENT </w:t>
      </w:r>
      <w:commentRangeStart w:id="0"/>
      <w:r w:rsidDel="00000000" w:rsidR="00000000" w:rsidRPr="00000000">
        <w:rPr>
          <w:b w:val="1"/>
          <w:bCs w:val="1"/>
          <w:sz w:val="28"/>
          <w:szCs w:val="28"/>
          <w:rtl w:val="0"/>
        </w:rPr>
        <w:t xml:space="preserve">(Make this in Teal)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spacing w:after="240" w:before="240" w:lineRule="auto"/>
        <w:rPr>
          <w:b w:val="1"/>
          <w:bCs w:val="1"/>
          <w:sz w:val="22"/>
          <w:szCs w:val="22"/>
        </w:rPr>
      </w:pPr>
      <w:r w:rsidDel="00000000" w:rsidR="00000000" w:rsidRPr="00000000">
        <w:rPr>
          <w:rtl w:val="0"/>
        </w:rPr>
        <w:t xml:space="preserve">Misaligned quality documents, procedures, and records can make it harder to identify gaps, reconcile evidence, and respond to regulatory scrutiny. FDA data reveals the broader challenges medical device manufacturers face, including inspection deficiencies, enforcement, additional information requests, and lengthy submission reviews.</w:t>
      </w:r>
      <w:r w:rsidDel="00000000" w:rsidR="00000000" w:rsidRPr="00000000">
        <w:rPr>
          <w:rtl w:val="0"/>
        </w:rPr>
      </w:r>
    </w:p>
    <w:p w:rsidR="00000000" w:rsidDel="00000000" w:rsidP="00000000" w:rsidRDefault="00000000" w:rsidRPr="00000000" w14:paraId="00000018">
      <w:pPr>
        <w:pStyle w:val="Heading3"/>
        <w:rPr>
          <w:b w:val="1"/>
          <w:bCs w:val="1"/>
          <w:color w:val="ff0000"/>
          <w:sz w:val="36"/>
          <w:szCs w:val="36"/>
        </w:rPr>
      </w:pPr>
      <w:bookmarkStart w:colFirst="0" w:colLast="0" w:name="_mu0vpyo87e37" w:id="8"/>
      <w:bookmarkEnd w:id="8"/>
      <w:r w:rsidDel="00000000" w:rsidR="00000000" w:rsidRPr="00000000">
        <w:rPr>
          <w:b w:val="1"/>
          <w:bCs w:val="1"/>
          <w:color w:val="ff0000"/>
          <w:sz w:val="36"/>
          <w:szCs w:val="36"/>
          <w:rtl w:val="0"/>
        </w:rPr>
        <w:t xml:space="preserve">74%</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Major deficiencies flagged in nearly three of four completed high-risk device reviews</w: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Source: </w:t>
      </w:r>
      <w:hyperlink r:id="rId10">
        <w:r w:rsidDel="00000000" w:rsidR="00000000" w:rsidRPr="00000000">
          <w:rPr>
            <w:color w:val="1155cc"/>
            <w:u w:val="single"/>
            <w:rtl w:val="0"/>
          </w:rPr>
          <w:t xml:space="preserve">FDA, FY2025 MDUFA Report to Congress</w:t>
        </w:r>
      </w:hyperlink>
      <w:r w:rsidDel="00000000" w:rsidR="00000000" w:rsidRPr="00000000">
        <w:rPr>
          <w:rtl w:val="0"/>
        </w:rPr>
      </w:r>
    </w:p>
    <w:p w:rsidR="00000000" w:rsidDel="00000000" w:rsidP="00000000" w:rsidRDefault="00000000" w:rsidRPr="00000000" w14:paraId="0000001B">
      <w:pPr>
        <w:pStyle w:val="Heading1"/>
        <w:rPr>
          <w:b w:val="1"/>
          <w:bCs w:val="1"/>
          <w:color w:val="ff0000"/>
          <w:sz w:val="42"/>
          <w:szCs w:val="42"/>
        </w:rPr>
      </w:pPr>
      <w:bookmarkStart w:colFirst="0" w:colLast="0" w:name="_4zeterorctv7" w:id="9"/>
      <w:bookmarkEnd w:id="9"/>
      <w:r w:rsidDel="00000000" w:rsidR="00000000" w:rsidRPr="00000000">
        <w:rPr>
          <w:b w:val="1"/>
          <w:bCs w:val="1"/>
          <w:color w:val="ff0000"/>
          <w:sz w:val="36"/>
          <w:szCs w:val="36"/>
          <w:rtl w:val="0"/>
        </w:rPr>
        <w:t xml:space="preserve">66%</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 </w:t>
      </w:r>
      <w:r w:rsidDel="00000000" w:rsidR="00000000" w:rsidRPr="00000000">
        <w:rPr>
          <w:b w:val="1"/>
          <w:bCs w:val="1"/>
          <w:rtl w:val="0"/>
        </w:rPr>
        <w:t xml:space="preserve">Two in three completed 510(k) reviews required additional information</w:t>
      </w:r>
      <w:r w:rsidDel="00000000" w:rsidR="00000000" w:rsidRPr="00000000">
        <w:rPr>
          <w:rtl w:val="0"/>
        </w:rPr>
      </w:r>
    </w:p>
    <w:p w:rsidR="00000000" w:rsidDel="00000000" w:rsidP="00000000" w:rsidRDefault="00000000" w:rsidRPr="00000000" w14:paraId="0000001D">
      <w:pPr>
        <w:spacing w:after="240" w:before="240" w:lineRule="auto"/>
        <w:rPr>
          <w:b w:val="1"/>
          <w:bCs w:val="1"/>
          <w:color w:val="000000"/>
          <w:sz w:val="22"/>
          <w:szCs w:val="22"/>
        </w:rPr>
      </w:pPr>
      <w:r w:rsidDel="00000000" w:rsidR="00000000" w:rsidRPr="00000000">
        <w:rPr>
          <w:b w:val="1"/>
          <w:bCs w:val="1"/>
          <w:rtl w:val="0"/>
        </w:rPr>
        <w:t xml:space="preserve">Source: </w:t>
      </w:r>
      <w:hyperlink r:id="rId11">
        <w:r w:rsidDel="00000000" w:rsidR="00000000" w:rsidRPr="00000000">
          <w:rPr>
            <w:color w:val="1155cc"/>
            <w:u w:val="single"/>
            <w:rtl w:val="0"/>
          </w:rPr>
          <w:t xml:space="preserve">FDA, FY2025 MDUFA Report to Congress</w:t>
        </w:r>
      </w:hyperlink>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color w:val="ff0000"/>
          <w:sz w:val="36"/>
          <w:szCs w:val="36"/>
        </w:rPr>
      </w:pPr>
      <w:bookmarkStart w:colFirst="0" w:colLast="0" w:name="_f25mt7k2jine" w:id="10"/>
      <w:bookmarkEnd w:id="10"/>
      <w:r w:rsidDel="00000000" w:rsidR="00000000" w:rsidRPr="00000000">
        <w:rPr>
          <w:b w:val="1"/>
          <w:bCs w:val="1"/>
          <w:color w:val="ff0000"/>
          <w:sz w:val="36"/>
          <w:szCs w:val="36"/>
          <w:rtl w:val="0"/>
        </w:rPr>
        <w:t xml:space="preserve">149 days</w:t>
      </w:r>
    </w:p>
    <w:p w:rsidR="00000000" w:rsidDel="00000000" w:rsidP="00000000" w:rsidRDefault="00000000" w:rsidRPr="00000000" w14:paraId="0000001F">
      <w:pPr>
        <w:spacing w:after="240" w:before="240" w:lineRule="auto"/>
        <w:rPr>
          <w:color w:val="9900ff"/>
        </w:rPr>
      </w:pPr>
      <w:r w:rsidDel="00000000" w:rsidR="00000000" w:rsidRPr="00000000">
        <w:rPr>
          <w:b w:val="1"/>
          <w:bCs w:val="1"/>
          <w:rtl w:val="0"/>
        </w:rPr>
        <w:t xml:space="preserve">Manufacturer responses consume months of PMA review</w:t>
      </w:r>
      <w:r w:rsidDel="00000000" w:rsidR="00000000" w:rsidRPr="00000000">
        <w:rPr>
          <w:rtl w:val="0"/>
        </w:rPr>
      </w:r>
    </w:p>
    <w:p w:rsidR="00000000" w:rsidDel="00000000" w:rsidP="00000000" w:rsidRDefault="00000000" w:rsidRPr="00000000" w14:paraId="00000020">
      <w:pPr>
        <w:spacing w:after="240" w:before="240" w:lineRule="auto"/>
        <w:rPr>
          <w:b w:val="1"/>
          <w:bCs w:val="1"/>
          <w:color w:val="000000"/>
          <w:sz w:val="22"/>
          <w:szCs w:val="22"/>
        </w:rPr>
      </w:pPr>
      <w:r w:rsidDel="00000000" w:rsidR="00000000" w:rsidRPr="00000000">
        <w:rPr>
          <w:b w:val="1"/>
          <w:bCs w:val="1"/>
          <w:rtl w:val="0"/>
        </w:rPr>
        <w:t xml:space="preserve">Source: </w:t>
      </w:r>
      <w:hyperlink r:id="rId12">
        <w:r w:rsidDel="00000000" w:rsidR="00000000" w:rsidRPr="00000000">
          <w:rPr>
            <w:color w:val="1155cc"/>
            <w:u w:val="single"/>
            <w:rtl w:val="0"/>
          </w:rPr>
          <w:t xml:space="preserve">FDA, MDUFA Quarterly Report, Aug. 2026</w:t>
        </w:r>
      </w:hyperlink>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color w:val="ff0000"/>
          <w:sz w:val="36"/>
          <w:szCs w:val="36"/>
        </w:rPr>
      </w:pPr>
      <w:bookmarkStart w:colFirst="0" w:colLast="0" w:name="_vscop6u1pdvt" w:id="11"/>
      <w:bookmarkEnd w:id="11"/>
      <w:r w:rsidDel="00000000" w:rsidR="00000000" w:rsidRPr="00000000">
        <w:rPr>
          <w:b w:val="1"/>
          <w:bCs w:val="1"/>
          <w:color w:val="ff0000"/>
          <w:sz w:val="36"/>
          <w:szCs w:val="36"/>
          <w:rtl w:val="0"/>
        </w:rPr>
        <w:t xml:space="preserve">26 of 59</w:t>
      </w:r>
    </w:p>
    <w:p w:rsidR="00000000" w:rsidDel="00000000" w:rsidP="00000000" w:rsidRDefault="00000000" w:rsidRPr="00000000" w14:paraId="00000022">
      <w:pPr>
        <w:spacing w:after="240" w:before="240" w:lineRule="auto"/>
        <w:rPr>
          <w:color w:val="9900ff"/>
        </w:rPr>
      </w:pPr>
      <w:r w:rsidDel="00000000" w:rsidR="00000000" w:rsidRPr="00000000">
        <w:rPr>
          <w:b w:val="1"/>
          <w:bCs w:val="1"/>
          <w:rtl w:val="0"/>
        </w:rPr>
        <w:t xml:space="preserve">Design controls and CAPA lead FDA quality-system enforcement</w: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24">
      <w:pPr>
        <w:spacing w:after="240" w:before="240" w:lineRule="auto"/>
        <w:rPr>
          <w:b w:val="1"/>
          <w:bCs w:val="1"/>
          <w:color w:val="000000"/>
          <w:sz w:val="22"/>
          <w:szCs w:val="22"/>
        </w:rPr>
      </w:pPr>
      <w:r w:rsidDel="00000000" w:rsidR="00000000" w:rsidRPr="00000000">
        <w:rPr>
          <w:b w:val="1"/>
          <w:bCs w:val="1"/>
          <w:rtl w:val="0"/>
        </w:rPr>
        <w:t xml:space="preserve">Covington &amp; Burling, Warning Letter Summaries:</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2025</w:t>
        </w:r>
      </w:hyperlink>
      <w:r w:rsidDel="00000000" w:rsidR="00000000" w:rsidRPr="00000000">
        <w:rPr>
          <w:b w:val="1"/>
          <w:bCs w:val="1"/>
          <w:rtl w:val="0"/>
        </w:rPr>
        <w:t xml:space="preserve"> ·</w:t>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2024</w:t>
        </w:r>
      </w:hyperlink>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color w:val="ff0000"/>
          <w:sz w:val="36"/>
          <w:szCs w:val="36"/>
        </w:rPr>
      </w:pPr>
      <w:bookmarkStart w:colFirst="0" w:colLast="0" w:name="_i5vlgawm1txh" w:id="12"/>
      <w:bookmarkEnd w:id="12"/>
      <w:r w:rsidDel="00000000" w:rsidR="00000000" w:rsidRPr="00000000">
        <w:rPr>
          <w:b w:val="1"/>
          <w:bCs w:val="1"/>
          <w:color w:val="ff0000"/>
          <w:sz w:val="36"/>
          <w:szCs w:val="36"/>
          <w:rtl w:val="0"/>
        </w:rPr>
        <w:t xml:space="preserve">279</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CAPA procedures top FDA inspection observations</w:t>
      </w:r>
      <w:r w:rsidDel="00000000" w:rsidR="00000000" w:rsidRPr="00000000">
        <w:rPr>
          <w:rtl w:val="0"/>
        </w:rPr>
      </w:r>
    </w:p>
    <w:p w:rsidR="00000000" w:rsidDel="00000000" w:rsidP="00000000" w:rsidRDefault="00000000" w:rsidRPr="00000000" w14:paraId="00000027">
      <w:pPr>
        <w:spacing w:after="240" w:before="240" w:lineRule="auto"/>
        <w:rPr>
          <w:b w:val="1"/>
          <w:bCs w:val="1"/>
          <w:sz w:val="28"/>
          <w:szCs w:val="28"/>
        </w:rPr>
      </w:pPr>
      <w:r w:rsidDel="00000000" w:rsidR="00000000" w:rsidRPr="00000000">
        <w:rPr>
          <w:b w:val="1"/>
          <w:bCs w:val="1"/>
          <w:rtl w:val="0"/>
        </w:rPr>
        <w:t xml:space="preserve">Source: </w:t>
      </w:r>
      <w:hyperlink r:id="rId17">
        <w:r w:rsidDel="00000000" w:rsidR="00000000" w:rsidRPr="00000000">
          <w:rPr>
            <w:color w:val="1155cc"/>
            <w:u w:val="single"/>
            <w:rtl w:val="0"/>
          </w:rPr>
          <w:t xml:space="preserve">FDA, FY2025 Inspection Observations</w:t>
        </w:r>
      </w:hyperlink>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28"/>
          <w:szCs w:val="28"/>
        </w:rPr>
      </w:pPr>
      <w:bookmarkStart w:colFirst="0" w:colLast="0" w:name="_6qwyxxo1kpho" w:id="13"/>
      <w:bookmarkEnd w:id="13"/>
      <w:commentRangeStart w:id="1"/>
      <w:r w:rsidDel="00000000" w:rsidR="00000000" w:rsidRPr="00000000">
        <w:rPr>
          <w:b w:val="1"/>
          <w:bCs w:val="1"/>
          <w:sz w:val="28"/>
          <w:szCs w:val="28"/>
          <w:rtl w:val="0"/>
        </w:rPr>
        <w:t xml:space="preserve">WHY THIS MATTERS NOW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Pr>
        <w:drawing>
          <wp:inline distB="114300" distT="114300" distL="114300" distR="114300">
            <wp:extent cx="5943600" cy="2641600"/>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22"/>
          <w:szCs w:val="22"/>
        </w:rPr>
      </w:pPr>
      <w:bookmarkStart w:colFirst="0" w:colLast="0" w:name="_dileumy78m63" w:id="14"/>
      <w:bookmarkEnd w:id="14"/>
      <w:r w:rsidDel="00000000" w:rsidR="00000000" w:rsidRPr="00000000">
        <w:rPr>
          <w:b w:val="1"/>
          <w:bCs w:val="1"/>
          <w:sz w:val="22"/>
          <w:szCs w:val="22"/>
          <w:rtl w:val="0"/>
        </w:rPr>
        <w:t xml:space="preserve">Card 1: FDA Rule, Feb 2, 2026</w:t>
      </w:r>
    </w:p>
    <w:p w:rsidR="00000000" w:rsidDel="00000000" w:rsidP="00000000" w:rsidRDefault="00000000" w:rsidRPr="00000000" w14:paraId="0000002B">
      <w:pPr>
        <w:spacing w:after="240" w:before="240" w:lineRule="auto"/>
        <w:rPr>
          <w:b w:val="1"/>
          <w:bCs w:val="1"/>
        </w:rPr>
      </w:pPr>
      <w:hyperlink r:id="rId19">
        <w:r w:rsidDel="00000000" w:rsidR="00000000" w:rsidRPr="00000000">
          <w:rPr>
            <w:b w:val="1"/>
            <w:bCs w:val="1"/>
            <w:color w:val="1155cc"/>
            <w:u w:val="single"/>
            <w:rtl w:val="0"/>
          </w:rPr>
          <w:t xml:space="preserve">FDA, QMSR Town Hall slides, Apr. 2026</w:t>
          <w:br w:type="textWrapping"/>
        </w:r>
      </w:hyperlink>
      <w:r w:rsidDel="00000000" w:rsidR="00000000" w:rsidRPr="00000000">
        <w:rPr>
          <w:rFonts w:ascii="Roboto Mono" w:cs="Roboto Mono" w:eastAsia="Roboto Mono" w:hAnsi="Roboto Mono"/>
          <w:b w:val="1"/>
          <w:bCs w:val="1"/>
          <w:color w:val="188038"/>
          <w:rtl w:val="0"/>
        </w:rPr>
        <w:t xml:space="preserve">https://www.fda.gov/media/191961/download</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22"/>
          <w:szCs w:val="22"/>
        </w:rPr>
      </w:pPr>
      <w:bookmarkStart w:colFirst="0" w:colLast="0" w:name="_5vbp22pjlbxu" w:id="15"/>
      <w:bookmarkEnd w:id="15"/>
      <w:r w:rsidDel="00000000" w:rsidR="00000000" w:rsidRPr="00000000">
        <w:rPr>
          <w:b w:val="1"/>
          <w:bCs w:val="1"/>
          <w:sz w:val="22"/>
          <w:szCs w:val="22"/>
          <w:rtl w:val="0"/>
        </w:rPr>
        <w:t xml:space="preserve">Card 2: FDA AI Use, Dec 1, 2025</w:t>
      </w:r>
    </w:p>
    <w:p w:rsidR="00000000" w:rsidDel="00000000" w:rsidP="00000000" w:rsidRDefault="00000000" w:rsidRPr="00000000" w14:paraId="0000002D">
      <w:pPr>
        <w:spacing w:after="240" w:before="240" w:lineRule="auto"/>
        <w:rPr>
          <w:b w:val="1"/>
          <w:bCs w:val="1"/>
        </w:rPr>
      </w:pPr>
      <w:hyperlink r:id="rId20">
        <w:r w:rsidDel="00000000" w:rsidR="00000000" w:rsidRPr="00000000">
          <w:rPr>
            <w:b w:val="1"/>
            <w:bCs w:val="1"/>
            <w:color w:val="1155cc"/>
            <w:u w:val="single"/>
            <w:rtl w:val="0"/>
          </w:rPr>
          <w:t xml:space="preserve">FDA, Dec. 2025</w:t>
          <w:br w:type="textWrapping"/>
        </w:r>
      </w:hyperlink>
      <w:r w:rsidDel="00000000" w:rsidR="00000000" w:rsidRPr="00000000">
        <w:rPr>
          <w:rFonts w:ascii="Roboto Mono" w:cs="Roboto Mono" w:eastAsia="Roboto Mono" w:hAnsi="Roboto Mono"/>
          <w:b w:val="1"/>
          <w:bCs w:val="1"/>
          <w:color w:val="188038"/>
          <w:rtl w:val="0"/>
        </w:rPr>
        <w:t xml:space="preserve">https://www.fda.gov/news-events/press-announcements/fda-expands-artificial-intelligence-capabilities-agentic-ai-deployment</w:t>
      </w:r>
      <w:r w:rsidDel="00000000" w:rsidR="00000000" w:rsidRPr="00000000">
        <w:rPr>
          <w:rtl w:val="0"/>
        </w:rPr>
      </w:r>
    </w:p>
    <w:p w:rsidR="00000000" w:rsidDel="00000000" w:rsidP="00000000" w:rsidRDefault="00000000" w:rsidRPr="00000000" w14:paraId="0000002E">
      <w:pPr>
        <w:spacing w:after="240" w:before="240" w:lineRule="auto"/>
        <w:rPr>
          <w:b w:val="1"/>
          <w:bCs w:val="1"/>
        </w:rPr>
      </w:pPr>
      <w:hyperlink r:id="rId21">
        <w:r w:rsidDel="00000000" w:rsidR="00000000" w:rsidRPr="00000000">
          <w:rPr>
            <w:b w:val="1"/>
            <w:bCs w:val="1"/>
            <w:color w:val="1155cc"/>
            <w:u w:val="single"/>
            <w:rtl w:val="0"/>
          </w:rPr>
          <w:t xml:space="preserve">FDA, June 2025</w:t>
          <w:br w:type="textWrapping"/>
        </w:r>
      </w:hyperlink>
      <w:r w:rsidDel="00000000" w:rsidR="00000000" w:rsidRPr="00000000">
        <w:rPr>
          <w:rFonts w:ascii="Roboto Mono" w:cs="Roboto Mono" w:eastAsia="Roboto Mono" w:hAnsi="Roboto Mono"/>
          <w:b w:val="1"/>
          <w:bCs w:val="1"/>
          <w:color w:val="188038"/>
          <w:rtl w:val="0"/>
        </w:rPr>
        <w:t xml:space="preserve">https://www.fda.gov/news-events/press-announcements/fda-launches-agency-wide-ai-tool-optimize-performance-american-people</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22"/>
          <w:szCs w:val="22"/>
        </w:rPr>
      </w:pPr>
      <w:bookmarkStart w:colFirst="0" w:colLast="0" w:name="_k3ijlbce25ou" w:id="16"/>
      <w:bookmarkEnd w:id="16"/>
      <w:r w:rsidDel="00000000" w:rsidR="00000000" w:rsidRPr="00000000">
        <w:rPr>
          <w:b w:val="1"/>
          <w:bCs w:val="1"/>
          <w:sz w:val="22"/>
          <w:szCs w:val="22"/>
          <w:rtl w:val="0"/>
        </w:rPr>
        <w:t xml:space="preserve">Card 3: EU Notified Body, May 2026</w:t>
      </w:r>
    </w:p>
    <w:p w:rsidR="00000000" w:rsidDel="00000000" w:rsidP="00000000" w:rsidRDefault="00000000" w:rsidRPr="00000000" w14:paraId="0000003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RAPS, May 2026</w:t>
      </w:r>
      <w:hyperlink r:id="rId22">
        <w:r w:rsidDel="00000000" w:rsidR="00000000" w:rsidRPr="00000000">
          <w:rPr>
            <w:b w:val="1"/>
            <w:bCs w:val="1"/>
            <w:color w:val="1155cc"/>
            <w:u w:val="single"/>
            <w:rtl w:val="0"/>
          </w:rPr>
          <w:t xml:space="preserve">raps</w:t>
          <w:br w:type="textWrapping"/>
        </w:r>
      </w:hyperlink>
      <w:hyperlink r:id="rId23">
        <w:r w:rsidDel="00000000" w:rsidR="00000000" w:rsidRPr="00000000">
          <w:rPr>
            <w:rFonts w:ascii="Roboto Mono" w:cs="Roboto Mono" w:eastAsia="Roboto Mono" w:hAnsi="Roboto Mono"/>
            <w:b w:val="1"/>
            <w:bCs w:val="1"/>
            <w:color w:val="1155cc"/>
            <w:u w:val="single"/>
            <w:rtl w:val="0"/>
          </w:rPr>
          <w:t xml:space="preserve">https://www.raps.org/resource/euro-convergence-experts-share-insights-on-ai-for-submissions-conformity-assessments.html</w:t>
        </w:r>
      </w:hyperlink>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sz w:val="28"/>
          <w:szCs w:val="28"/>
          <w:rtl w:val="0"/>
        </w:rPr>
        <w:t xml:space="preserve">2) </w:t>
      </w:r>
      <w:r w:rsidDel="00000000" w:rsidR="00000000" w:rsidRPr="00000000">
        <w:rPr>
          <w:b w:val="1"/>
          <w:bCs w:val="1"/>
          <w:sz w:val="28"/>
          <w:szCs w:val="28"/>
          <w:rtl w:val="0"/>
        </w:rPr>
        <w:t xml:space="preserve">THE ALIGNMENT GAP </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Quality Systems Are in Place. Alignment Is the Hard Part.</w:t>
      </w:r>
    </w:p>
    <w:p w:rsidR="00000000" w:rsidDel="00000000" w:rsidP="00000000" w:rsidRDefault="00000000" w:rsidRPr="00000000" w14:paraId="00000033">
      <w:pPr>
        <w:spacing w:after="240" w:before="240" w:lineRule="auto"/>
        <w:rPr/>
      </w:pPr>
      <w:r w:rsidDel="00000000" w:rsidR="00000000" w:rsidRPr="00000000">
        <w:rPr>
          <w:rtl w:val="0"/>
        </w:rPr>
        <w:t xml:space="preserve">Requirements change. Documents evolve. Evidence accumulates.</w:t>
      </w:r>
    </w:p>
    <w:p w:rsidR="00000000" w:rsidDel="00000000" w:rsidP="00000000" w:rsidRDefault="00000000" w:rsidRPr="00000000" w14:paraId="00000034">
      <w:pPr>
        <w:spacing w:after="240" w:before="240" w:lineRule="auto"/>
        <w:rPr/>
      </w:pPr>
      <w:r w:rsidDel="00000000" w:rsidR="00000000" w:rsidRPr="00000000">
        <w:rPr>
          <w:rtl w:val="0"/>
        </w:rPr>
        <w:t xml:space="preserve">Quality system documents and records depend on one another, even across different systems.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When one changes, what else is affected?</w:t>
      </w:r>
      <w:r w:rsidDel="00000000" w:rsidR="00000000" w:rsidRPr="00000000">
        <w:rPr>
          <w:rtl w:val="0"/>
        </w:rPr>
      </w:r>
    </w:p>
    <w:p w:rsidR="00000000" w:rsidDel="00000000" w:rsidP="00000000" w:rsidRDefault="00000000" w:rsidRPr="00000000" w14:paraId="00000036">
      <w:pPr>
        <w:spacing w:after="240" w:before="240" w:lineRule="auto"/>
        <w:rPr>
          <w:b w:val="1"/>
          <w:bCs w:val="1"/>
          <w:sz w:val="28"/>
          <w:szCs w:val="28"/>
        </w:rPr>
      </w:pPr>
      <w:commentRangeStart w:id="2"/>
      <w:r w:rsidDel="00000000" w:rsidR="00000000" w:rsidRPr="00000000">
        <w:rPr>
          <w:b w:val="1"/>
          <w:bCs w:val="1"/>
          <w:sz w:val="28"/>
          <w:szCs w:val="28"/>
          <w:rtl w:val="0"/>
        </w:rPr>
        <w:t xml:space="preserve">The Alignment Gap Dynamic Visual: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4321969" cy="2881313"/>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321969"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b w:val="1"/>
          <w:bCs w:val="1"/>
          <w:sz w:val="28"/>
          <w:szCs w:val="28"/>
        </w:rPr>
      </w:pPr>
      <w:r w:rsidDel="00000000" w:rsidR="00000000" w:rsidRPr="00000000">
        <w:rPr>
          <w:b w:val="1"/>
          <w:bCs w:val="1"/>
          <w:sz w:val="28"/>
          <w:szCs w:val="28"/>
          <w:rtl w:val="0"/>
        </w:rPr>
        <w:t xml:space="preserve"> 3</w:t>
      </w:r>
      <w:r w:rsidDel="00000000" w:rsidR="00000000" w:rsidRPr="00000000">
        <w:rPr>
          <w:b w:val="1"/>
          <w:bCs w:val="1"/>
          <w:sz w:val="28"/>
          <w:szCs w:val="28"/>
          <w:rtl w:val="0"/>
        </w:rPr>
        <w:t xml:space="preserve">) BEYOND EXISTING SYSTEMS</w:t>
      </w:r>
    </w:p>
    <w:p w:rsidR="00000000" w:rsidDel="00000000" w:rsidP="00000000" w:rsidRDefault="00000000" w:rsidRPr="00000000" w14:paraId="00000039">
      <w:pPr>
        <w:pStyle w:val="Heading2"/>
        <w:keepNext w:val="0"/>
        <w:keepLines w:val="0"/>
        <w:spacing w:after="80" w:lineRule="auto"/>
        <w:rPr>
          <w:b w:val="1"/>
          <w:bCs w:val="1"/>
          <w:sz w:val="28"/>
          <w:szCs w:val="28"/>
        </w:rPr>
      </w:pPr>
      <w:bookmarkStart w:colFirst="0" w:colLast="0" w:name="_2cfgfutaafst" w:id="17"/>
      <w:bookmarkEnd w:id="17"/>
      <w:r w:rsidDel="00000000" w:rsidR="00000000" w:rsidRPr="00000000">
        <w:rPr>
          <w:b w:val="1"/>
          <w:bCs w:val="1"/>
          <w:sz w:val="28"/>
          <w:szCs w:val="28"/>
          <w:rtl w:val="0"/>
        </w:rPr>
        <w:t xml:space="preserve">Existing Systems Manage the Information. Alignment Is Still the Challenge.</w:t>
      </w:r>
    </w:p>
    <w:p w:rsidR="00000000" w:rsidDel="00000000" w:rsidP="00000000" w:rsidRDefault="00000000" w:rsidRPr="00000000" w14:paraId="0000003A">
      <w:pPr>
        <w:pStyle w:val="Heading2"/>
        <w:keepNext w:val="0"/>
        <w:keepLines w:val="0"/>
        <w:spacing w:after="80" w:lineRule="auto"/>
        <w:rPr>
          <w:sz w:val="22"/>
          <w:szCs w:val="22"/>
        </w:rPr>
      </w:pPr>
      <w:bookmarkStart w:colFirst="0" w:colLast="0" w:name="_sfd7w2esdbpz" w:id="18"/>
      <w:bookmarkEnd w:id="18"/>
      <w:r w:rsidDel="00000000" w:rsidR="00000000" w:rsidRPr="00000000">
        <w:rPr>
          <w:sz w:val="22"/>
          <w:szCs w:val="22"/>
          <w:rtl w:val="0"/>
        </w:rPr>
        <w:t xml:space="preserve">QMS and other quality systems manage documents, records, workflows, and approvals.</w:t>
      </w:r>
    </w:p>
    <w:p w:rsidR="00000000" w:rsidDel="00000000" w:rsidP="00000000" w:rsidRDefault="00000000" w:rsidRPr="00000000" w14:paraId="0000003B">
      <w:pPr>
        <w:pStyle w:val="Heading2"/>
        <w:keepNext w:val="0"/>
        <w:keepLines w:val="0"/>
        <w:spacing w:after="80" w:lineRule="auto"/>
        <w:rPr>
          <w:sz w:val="22"/>
          <w:szCs w:val="22"/>
        </w:rPr>
      </w:pPr>
      <w:bookmarkStart w:colFirst="0" w:colLast="0" w:name="_8fo8yau07z2u" w:id="19"/>
      <w:bookmarkEnd w:id="19"/>
      <w:r w:rsidDel="00000000" w:rsidR="00000000" w:rsidRPr="00000000">
        <w:rPr>
          <w:sz w:val="22"/>
          <w:szCs w:val="22"/>
          <w:rtl w:val="0"/>
        </w:rPr>
        <w:t xml:space="preserve">Compliance also depends on how that information relates to applicable requirements and to other documents and records.</w:t>
      </w:r>
    </w:p>
    <w:p w:rsidR="00000000" w:rsidDel="00000000" w:rsidP="00000000" w:rsidRDefault="00000000" w:rsidRPr="00000000" w14:paraId="0000003C">
      <w:pPr>
        <w:pStyle w:val="Heading2"/>
        <w:keepNext w:val="0"/>
        <w:keepLines w:val="0"/>
        <w:spacing w:after="80" w:lineRule="auto"/>
        <w:rPr/>
      </w:pPr>
      <w:bookmarkStart w:colFirst="0" w:colLast="0" w:name="_18hi93jf57tl" w:id="20"/>
      <w:bookmarkEnd w:id="20"/>
      <w:r w:rsidDel="00000000" w:rsidR="00000000" w:rsidRPr="00000000">
        <w:rPr>
          <w:b w:val="1"/>
          <w:bCs w:val="1"/>
          <w:sz w:val="22"/>
          <w:szCs w:val="22"/>
          <w:rtl w:val="0"/>
        </w:rPr>
        <w:t xml:space="preserve">Suricat works alongside those systems to surface where related information may no longer line up.</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28"/>
          <w:szCs w:val="28"/>
        </w:rPr>
      </w:pPr>
      <w:bookmarkStart w:colFirst="0" w:colLast="0" w:name="_pvmaexbr2xjs" w:id="21"/>
      <w:bookmarkEnd w:id="21"/>
      <w:r w:rsidDel="00000000" w:rsidR="00000000" w:rsidRPr="00000000">
        <w:rPr>
          <w:b w:val="1"/>
          <w:bCs w:val="1"/>
          <w:sz w:val="28"/>
          <w:szCs w:val="28"/>
          <w:rtl w:val="0"/>
        </w:rPr>
        <w:t xml:space="preserve">BEYOND EXISTING SYSTEMS </w:t>
      </w:r>
      <w:r w:rsidDel="00000000" w:rsidR="00000000" w:rsidRPr="00000000">
        <w:rPr>
          <w:b w:val="1"/>
          <w:bCs w:val="1"/>
          <w:sz w:val="28"/>
          <w:szCs w:val="28"/>
          <w:rtl w:val="0"/>
        </w:rPr>
        <w:t xml:space="preserve">Dynamic Visual</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6495958" cy="3414542"/>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495958" cy="341454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highlight w:val="white"/>
        </w:rPr>
      </w:pPr>
      <w:r w:rsidDel="00000000" w:rsidR="00000000" w:rsidRPr="00000000">
        <w:rPr>
          <w:rtl w:val="0"/>
        </w:rPr>
      </w:r>
    </w:p>
    <w:p w:rsidR="00000000" w:rsidDel="00000000" w:rsidP="00000000" w:rsidRDefault="00000000" w:rsidRPr="00000000" w14:paraId="00000041">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2">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3">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sz w:val="28"/>
          <w:szCs w:val="28"/>
        </w:rPr>
      </w:pPr>
      <w:r w:rsidDel="00000000" w:rsidR="00000000" w:rsidRPr="00000000">
        <w:rPr>
          <w:b w:val="1"/>
          <w:bCs w:val="1"/>
          <w:sz w:val="28"/>
          <w:szCs w:val="28"/>
          <w:rtl w:val="0"/>
        </w:rPr>
        <w:t xml:space="preserve">4</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BUILT FOR REGULATED ENVIRONMENTS</w:t>
      </w:r>
    </w:p>
    <w:p w:rsidR="00000000" w:rsidDel="00000000" w:rsidP="00000000" w:rsidRDefault="00000000" w:rsidRPr="00000000" w14:paraId="00000045">
      <w:pPr>
        <w:spacing w:after="240" w:before="240" w:lineRule="auto"/>
        <w:ind w:left="0" w:right="600" w:firstLine="0"/>
        <w:rPr>
          <w:b w:val="1"/>
          <w:bCs w:val="1"/>
        </w:rPr>
      </w:pPr>
      <w:r w:rsidDel="00000000" w:rsidR="00000000" w:rsidRPr="00000000">
        <w:rPr>
          <w:b w:val="1"/>
          <w:bCs w:val="1"/>
          <w:sz w:val="28"/>
          <w:szCs w:val="28"/>
          <w:rtl w:val="0"/>
        </w:rPr>
        <w:t xml:space="preserve">Intelligence Without Giving Up Control.</w:t>
      </w:r>
      <w:r w:rsidDel="00000000" w:rsidR="00000000" w:rsidRPr="00000000">
        <w:rPr>
          <w:rtl w:val="0"/>
        </w:rPr>
      </w:r>
    </w:p>
    <w:p w:rsidR="00000000" w:rsidDel="00000000" w:rsidP="00000000" w:rsidRDefault="00000000" w:rsidRPr="00000000" w14:paraId="00000046">
      <w:pPr>
        <w:spacing w:after="240" w:before="240" w:lineRule="auto"/>
        <w:ind w:left="0" w:right="600" w:firstLine="0"/>
        <w:rPr/>
      </w:pPr>
      <w:r w:rsidDel="00000000" w:rsidR="00000000" w:rsidRPr="00000000">
        <w:rPr>
          <w:rtl w:val="0"/>
        </w:rPr>
        <w:t xml:space="preserve">Suricat fits into existing quality and regulatory environments while keeping QA and RA professionals in control.</w:t>
      </w:r>
    </w:p>
    <w:p w:rsidR="00000000" w:rsidDel="00000000" w:rsidP="00000000" w:rsidRDefault="00000000" w:rsidRPr="00000000" w14:paraId="00000047">
      <w:pPr>
        <w:spacing w:after="240" w:before="240" w:lineRule="auto"/>
        <w:ind w:left="0" w:right="600" w:firstLine="0"/>
        <w:rPr>
          <w:b w:val="1"/>
          <w:bCs w:val="1"/>
        </w:rPr>
      </w:pPr>
      <w:r w:rsidDel="00000000" w:rsidR="00000000" w:rsidRPr="00000000">
        <w:rPr>
          <w:b w:val="1"/>
          <w:bCs w:val="1"/>
          <w:rtl w:val="0"/>
        </w:rPr>
        <w:t xml:space="preserve">Human Accountability</w:t>
      </w:r>
    </w:p>
    <w:p w:rsidR="00000000" w:rsidDel="00000000" w:rsidP="00000000" w:rsidRDefault="00000000" w:rsidRPr="00000000" w14:paraId="00000048">
      <w:pPr>
        <w:spacing w:after="240" w:before="240" w:lineRule="auto"/>
        <w:rPr/>
      </w:pPr>
      <w:r w:rsidDel="00000000" w:rsidR="00000000" w:rsidRPr="00000000">
        <w:rPr>
          <w:rtl w:val="0"/>
        </w:rPr>
        <w:t xml:space="preserve">QA and RA professionals remain at the center of every review. Their expertise guides the assessment of potential issues and verification of evidence. They retain full authority over every decision and action.</w:t>
      </w:r>
    </w:p>
    <w:p w:rsidR="00000000" w:rsidDel="00000000" w:rsidP="00000000" w:rsidRDefault="00000000" w:rsidRPr="00000000" w14:paraId="00000049">
      <w:pPr>
        <w:spacing w:after="240" w:before="240" w:lineRule="auto"/>
        <w:ind w:left="0" w:right="600" w:firstLine="0"/>
        <w:rPr/>
      </w:pPr>
      <w:r w:rsidDel="00000000" w:rsidR="00000000" w:rsidRPr="00000000">
        <w:rPr>
          <w:b w:val="1"/>
          <w:bCs w:val="1"/>
          <w:rtl w:val="0"/>
        </w:rPr>
        <w:t xml:space="preserve">No Rip and Replace</w:t>
        <w:br w:type="textWrapping"/>
      </w:r>
      <w:r w:rsidDel="00000000" w:rsidR="00000000" w:rsidRPr="00000000">
        <w:rPr>
          <w:rtl w:val="0"/>
        </w:rPr>
        <w:t xml:space="preserve">Existing QMS and document control systems stay in place. Suricat works alongside those systems and established processes.</w:t>
      </w:r>
    </w:p>
    <w:p w:rsidR="00000000" w:rsidDel="00000000" w:rsidP="00000000" w:rsidRDefault="00000000" w:rsidRPr="00000000" w14:paraId="0000004A">
      <w:pPr>
        <w:spacing w:after="240" w:before="240" w:lineRule="auto"/>
        <w:ind w:left="0" w:right="600" w:firstLine="0"/>
        <w:rPr/>
      </w:pPr>
      <w:r w:rsidDel="00000000" w:rsidR="00000000" w:rsidRPr="00000000">
        <w:rPr>
          <w:b w:val="1"/>
          <w:bCs w:val="1"/>
          <w:rtl w:val="0"/>
        </w:rPr>
        <w:t xml:space="preserve">Read Only by Design</w:t>
        <w:br w:type="textWrapping"/>
      </w:r>
      <w:r w:rsidDel="00000000" w:rsidR="00000000" w:rsidRPr="00000000">
        <w:rPr>
          <w:rtl w:val="0"/>
        </w:rPr>
        <w:t xml:space="preserve">Suricat evaluates compliance information without modifying controlled documents or source records. Existing approval processes and document controls remain intact.</w:t>
      </w:r>
      <w:r w:rsidDel="00000000" w:rsidR="00000000" w:rsidRPr="00000000">
        <w:rPr>
          <w:rtl w:val="0"/>
        </w:rPr>
      </w:r>
    </w:p>
    <w:p w:rsidR="00000000" w:rsidDel="00000000" w:rsidP="00000000" w:rsidRDefault="00000000" w:rsidRPr="00000000" w14:paraId="0000004B">
      <w:pPr>
        <w:spacing w:after="240" w:before="240" w:lineRule="auto"/>
        <w:ind w:left="0" w:right="600" w:firstLine="0"/>
        <w:rPr>
          <w:color w:val="9900ff"/>
        </w:rPr>
      </w:pPr>
      <w:r w:rsidDel="00000000" w:rsidR="00000000" w:rsidRPr="00000000">
        <w:rPr>
          <w:b w:val="1"/>
          <w:bCs w:val="1"/>
          <w:rtl w:val="0"/>
        </w:rPr>
        <w:t xml:space="preserve">Data Ownership</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Customer data remains the customer’s property, is never used to train AI models, and is securely deleted following contract termination.</w:t>
      </w:r>
      <w:r w:rsidDel="00000000" w:rsidR="00000000" w:rsidRPr="00000000">
        <w:rPr>
          <w:rtl w:val="0"/>
        </w:rPr>
      </w:r>
    </w:p>
    <w:p w:rsidR="00000000" w:rsidDel="00000000" w:rsidP="00000000" w:rsidRDefault="00000000" w:rsidRPr="00000000" w14:paraId="0000004D">
      <w:pPr>
        <w:spacing w:after="240" w:before="240" w:lineRule="auto"/>
        <w:ind w:left="0" w:right="600" w:firstLine="0"/>
        <w:rPr/>
      </w:pPr>
      <w:r w:rsidDel="00000000" w:rsidR="00000000" w:rsidRPr="00000000">
        <w:rPr>
          <w:b w:val="1"/>
          <w:bCs w:val="1"/>
          <w:rtl w:val="0"/>
        </w:rPr>
        <w:t xml:space="preserve">Isolated by Design</w:t>
        <w:br w:type="textWrapping"/>
      </w:r>
      <w:r w:rsidDel="00000000" w:rsidR="00000000" w:rsidRPr="00000000">
        <w:rPr>
          <w:rtl w:val="0"/>
        </w:rPr>
        <w:t xml:space="preserve">Each organization’s compliance information is isolated from other organizations’ data.</w:t>
      </w:r>
    </w:p>
    <w:p w:rsidR="00000000" w:rsidDel="00000000" w:rsidP="00000000" w:rsidRDefault="00000000" w:rsidRPr="00000000" w14:paraId="0000004E">
      <w:pPr>
        <w:spacing w:after="240" w:before="240" w:lineRule="auto"/>
        <w:ind w:left="0" w:right="600" w:firstLine="0"/>
        <w:rPr/>
      </w:pPr>
      <w:r w:rsidDel="00000000" w:rsidR="00000000" w:rsidRPr="00000000">
        <w:rPr/>
        <w:drawing>
          <wp:inline distB="114300" distT="114300" distL="114300" distR="114300">
            <wp:extent cx="5943600" cy="2388724"/>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238872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b w:val="1"/>
          <w:bCs w:val="1"/>
          <w:sz w:val="28"/>
          <w:szCs w:val="28"/>
          <w:highlight w:val="white"/>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commentRangeStart w:id="3"/>
      <w:r w:rsidDel="00000000" w:rsidR="00000000" w:rsidRPr="00000000">
        <w:rPr>
          <w:b w:val="1"/>
          <w:bCs w:val="1"/>
          <w:sz w:val="28"/>
          <w:szCs w:val="28"/>
          <w:highlight w:val="white"/>
          <w:rtl w:val="0"/>
        </w:rPr>
        <w:t xml:space="preserve">WHY SURICAT (CLOSING PUNCHLINE)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Pr>
        <w:drawing>
          <wp:inline distB="114300" distT="114300" distL="114300" distR="114300">
            <wp:extent cx="5943600" cy="1981200"/>
            <wp:effectExtent b="0" l="0" r="0" t="0"/>
            <wp:docPr id="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WHY SURICAT</w:t>
      </w:r>
    </w:p>
    <w:p w:rsidR="00000000" w:rsidDel="00000000" w:rsidP="00000000" w:rsidRDefault="00000000" w:rsidRPr="00000000" w14:paraId="00000053">
      <w:pPr>
        <w:pStyle w:val="Heading1"/>
        <w:keepNext w:val="0"/>
        <w:keepLines w:val="0"/>
        <w:spacing w:before="480" w:lineRule="auto"/>
        <w:rPr>
          <w:b w:val="1"/>
          <w:bCs w:val="1"/>
          <w:sz w:val="28"/>
          <w:szCs w:val="28"/>
        </w:rPr>
      </w:pPr>
      <w:bookmarkStart w:colFirst="0" w:colLast="0" w:name="_y55vxoucwamz" w:id="22"/>
      <w:bookmarkEnd w:id="22"/>
      <w:r w:rsidDel="00000000" w:rsidR="00000000" w:rsidRPr="00000000">
        <w:rPr>
          <w:b w:val="1"/>
          <w:bCs w:val="1"/>
          <w:sz w:val="28"/>
          <w:szCs w:val="28"/>
          <w:rtl w:val="0"/>
        </w:rPr>
        <w:t xml:space="preserve">Know What Needs Attention. Before It Becomes a Finding.</w:t>
      </w:r>
    </w:p>
    <w:p w:rsidR="00000000" w:rsidDel="00000000" w:rsidP="00000000" w:rsidRDefault="00000000" w:rsidRPr="00000000" w14:paraId="00000054">
      <w:pPr>
        <w:spacing w:after="240" w:before="240" w:lineRule="auto"/>
        <w:rPr/>
      </w:pPr>
      <w:r w:rsidDel="00000000" w:rsidR="00000000" w:rsidRPr="00000000">
        <w:rPr>
          <w:rtl w:val="0"/>
        </w:rPr>
        <w:t xml:space="preserve">Gaps and misalignments rarely announce themselves. Suricat surfaces potential issues with the source evidence behind them, so QA and RA teams can review, verify, and decide.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Less time searching. More confidence in every review.</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nltneph0lp75" w:id="23"/>
      <w:bookmarkEnd w:id="23"/>
      <w:r w:rsidDel="00000000" w:rsidR="00000000" w:rsidRPr="00000000">
        <w:rPr>
          <w:b w:val="1"/>
          <w:bCs w:val="1"/>
          <w:color w:val="000000"/>
          <w:sz w:val="26"/>
          <w:szCs w:val="26"/>
          <w:rtl w:val="0"/>
        </w:rPr>
        <w:t xml:space="preserve">Ready to See Suricat in Action?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Join as a Design Partner</w:t>
      </w:r>
      <w:r w:rsidDel="00000000" w:rsidR="00000000" w:rsidRPr="00000000">
        <w:rPr>
          <w:rtl w:val="0"/>
        </w:rPr>
        <w:t xml:space="preserve">  </w:t>
      </w:r>
      <w:r w:rsidDel="00000000" w:rsidR="00000000" w:rsidRPr="00000000">
        <w:rPr>
          <w:b w:val="1"/>
          <w:bCs w:val="1"/>
          <w:rtl w:val="0"/>
        </w:rPr>
        <w:t xml:space="preserve">Request a Pilot</w:t>
      </w:r>
    </w:p>
    <w:p w:rsidR="00000000" w:rsidDel="00000000" w:rsidP="00000000" w:rsidRDefault="00000000" w:rsidRPr="00000000" w14:paraId="00000058">
      <w:pPr>
        <w:spacing w:after="240" w:before="240" w:lineRule="auto"/>
        <w:rPr/>
      </w:pPr>
      <w:r w:rsidDel="00000000" w:rsidR="00000000" w:rsidRPr="00000000">
        <w:rPr>
          <w:u w:val="single"/>
          <w:rtl w:val="0"/>
        </w:rPr>
        <w:t xml:space="preserve">Talk to Us</w:t>
      </w:r>
      <w:r w:rsidDel="00000000" w:rsidR="00000000" w:rsidRPr="00000000">
        <w:rPr>
          <w:rtl w:val="0"/>
        </w:rPr>
      </w:r>
    </w:p>
    <w:p w:rsidR="00000000" w:rsidDel="00000000" w:rsidP="00000000" w:rsidRDefault="00000000" w:rsidRPr="00000000" w14:paraId="00000059">
      <w:pPr>
        <w:spacing w:after="240" w:before="240" w:lineRule="auto"/>
        <w:rPr>
          <w:sz w:val="28"/>
          <w:szCs w:val="28"/>
        </w:rPr>
      </w:pPr>
      <w:r w:rsidDel="00000000" w:rsidR="00000000" w:rsidRPr="00000000">
        <w:rPr>
          <w:b w:val="1"/>
          <w:bCs w:val="1"/>
          <w:sz w:val="28"/>
          <w:szCs w:val="28"/>
          <w:rtl w:val="0"/>
        </w:rPr>
        <w:t xml:space="preserve">DESIGN PARTNER BAND</w:t>
      </w:r>
      <w:r w:rsidDel="00000000" w:rsidR="00000000" w:rsidRPr="00000000">
        <w:rPr>
          <w:rtl w:val="0"/>
        </w:rPr>
      </w:r>
    </w:p>
    <w:p w:rsidR="00000000" w:rsidDel="00000000" w:rsidP="00000000" w:rsidRDefault="00000000" w:rsidRPr="00000000" w14:paraId="0000005A">
      <w:pPr>
        <w:ind w:left="0" w:firstLine="0"/>
        <w:rPr>
          <w:b w:val="1"/>
          <w:bCs w:val="1"/>
          <w:color w:val="0000ff"/>
          <w:sz w:val="36"/>
          <w:szCs w:val="36"/>
        </w:rPr>
      </w:pPr>
      <w:r w:rsidDel="00000000" w:rsidR="00000000" w:rsidRPr="00000000">
        <w:rPr/>
        <w:drawing>
          <wp:inline distB="114300" distT="114300" distL="114300" distR="114300">
            <wp:extent cx="5943600" cy="1981200"/>
            <wp:effectExtent b="0" l="0" r="0" t="0"/>
            <wp:docPr id="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b w:val="1"/>
          <w:bCs w:val="1"/>
          <w:color w:val="0000ff"/>
        </w:rPr>
      </w:pPr>
      <w:r w:rsidDel="00000000" w:rsidR="00000000" w:rsidRPr="00000000">
        <w:rPr>
          <w:rtl w:val="0"/>
        </w:rPr>
      </w:r>
    </w:p>
    <w:p w:rsidR="00000000" w:rsidDel="00000000" w:rsidP="00000000" w:rsidRDefault="00000000" w:rsidRPr="00000000" w14:paraId="0000005C">
      <w:pPr>
        <w:ind w:left="0" w:firstLine="0"/>
        <w:rPr>
          <w:b w:val="1"/>
          <w:bCs w:val="1"/>
          <w:sz w:val="28"/>
          <w:szCs w:val="28"/>
        </w:rPr>
      </w:pPr>
      <w:r w:rsidDel="00000000" w:rsidR="00000000" w:rsidRPr="00000000">
        <w:rPr>
          <w:rtl w:val="0"/>
        </w:rPr>
      </w:r>
    </w:p>
    <w:p w:rsidR="00000000" w:rsidDel="00000000" w:rsidP="00000000" w:rsidRDefault="00000000" w:rsidRPr="00000000" w14:paraId="0000005D">
      <w:pPr>
        <w:ind w:left="0" w:firstLine="0"/>
        <w:rPr>
          <w:b w:val="1"/>
          <w:bCs w:val="1"/>
          <w:sz w:val="28"/>
          <w:szCs w:val="28"/>
        </w:rPr>
      </w:pPr>
      <w:r w:rsidDel="00000000" w:rsidR="00000000" w:rsidRPr="00000000">
        <w:rPr>
          <w:b w:val="1"/>
          <w:bCs w:val="1"/>
          <w:sz w:val="28"/>
          <w:szCs w:val="28"/>
          <w:rtl w:val="0"/>
        </w:rPr>
        <w:t xml:space="preserve">FOOTER</w:t>
      </w:r>
    </w:p>
    <w:p w:rsidR="00000000" w:rsidDel="00000000" w:rsidP="00000000" w:rsidRDefault="00000000" w:rsidRPr="00000000" w14:paraId="0000005E">
      <w:pPr>
        <w:ind w:left="0" w:firstLine="0"/>
        <w:rPr>
          <w:b w:val="1"/>
          <w:bCs w:val="1"/>
          <w:sz w:val="28"/>
          <w:szCs w:val="28"/>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drawing>
          <wp:inline distB="114300" distT="114300" distL="114300" distR="114300">
            <wp:extent cx="5943600" cy="1943100"/>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J Khan" w:id="3" w:date="2026-10-24T18:27:17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@alishan@suricat.ai @shahzad@eforteskills.com (minor change in wording and how it is align in sentences)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alishan@suricat.ai_</w:t>
      </w:r>
    </w:p>
  </w:comment>
  <w:comment w:author="MJ Khan" w:id="0" w:date="2026-10-25T23:19:4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@alishan@suricat.ai @shahzad@eforteskills.com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alishan@suricat.ai_</w:t>
      </w:r>
    </w:p>
  </w:comment>
  <w:comment w:author="MJ Khan" w:id="2" w:date="2026-10-24T18:02:3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@alishan@suricat.ai @shahzad@eforteskills.com (replace the existing visual with this one)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alishan@suricat.ai_</w:t>
      </w:r>
    </w:p>
  </w:comment>
  <w:comment w:author="MJ Khan" w:id="1" w:date="2026-10-24T17:51:51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@alishan@suricat.ai @shahzad@eforteskills.com (Replace this new "Why This Matters Now")</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alishan@suricat.ai_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da.gov/news-events/press-announcements/fda-expands-artificial-intelligence-capabilities-agentic-ai-deployment" TargetMode="External"/><Relationship Id="rId22" Type="http://schemas.openxmlformats.org/officeDocument/2006/relationships/hyperlink" Target="https://www.raps.org/resource/euro-convergence-experts-share-insights-on-ai-for-submissions-conformity-assessments.html" TargetMode="External"/><Relationship Id="rId21" Type="http://schemas.openxmlformats.org/officeDocument/2006/relationships/hyperlink" Target="https://www.fda.gov/news-events/press-announcements/fda-launches-agency-wide-ai-tool-optimize-performance-american-people" TargetMode="External"/><Relationship Id="rId24" Type="http://schemas.openxmlformats.org/officeDocument/2006/relationships/image" Target="media/image2.png"/><Relationship Id="rId23" Type="http://schemas.openxmlformats.org/officeDocument/2006/relationships/hyperlink" Target="https://www.raps.org/resource/euro-convergence-experts-share-insights-on-ai-for-submissions-conformity-assessments.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image" Target="media/image7.png"/><Relationship Id="rId25"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5.png"/><Relationship Id="rId11" Type="http://schemas.openxmlformats.org/officeDocument/2006/relationships/hyperlink" Target="https://www.fda.gov/media/191127/download" TargetMode="External"/><Relationship Id="rId10" Type="http://schemas.openxmlformats.org/officeDocument/2006/relationships/hyperlink" Target="https://www.fda.gov/media/191127/download" TargetMode="External"/><Relationship Id="rId13" Type="http://schemas.openxmlformats.org/officeDocument/2006/relationships/hyperlink" Target="https://www.cov.com/-/media/files/corporate/publications/2026/02/quarterly-medical-device-warning-letters-update-october--december-2025-and-2025-annual-summary.pdf" TargetMode="External"/><Relationship Id="rId12" Type="http://schemas.openxmlformats.org/officeDocument/2006/relationships/hyperlink" Target="https://www.fda.gov/media/194465/download?attachment" TargetMode="External"/><Relationship Id="rId15" Type="http://schemas.openxmlformats.org/officeDocument/2006/relationships/hyperlink" Target="https://www.cov.com/-/media/files/corporate/publications/2025/02/quarterly-medical-device-warning-letters-update-october-december-2024-and-2024-annual-summary.pdf" TargetMode="External"/><Relationship Id="rId14" Type="http://schemas.openxmlformats.org/officeDocument/2006/relationships/hyperlink" Target="https://www.cov.com/-/media/files/corporate/publications/2026/02/quarterly-medical-device-warning-letters-update-october--december-2025-and-2025-annual-summary.pdf" TargetMode="External"/><Relationship Id="rId17" Type="http://schemas.openxmlformats.org/officeDocument/2006/relationships/hyperlink" Target="https://www.fda.gov/inspections-compliance-enforcement-and-criminal-investigations/inspection-references/inspection-observations" TargetMode="External"/><Relationship Id="rId16" Type="http://schemas.openxmlformats.org/officeDocument/2006/relationships/hyperlink" Target="https://www.cov.com/-/media/files/corporate/publications/2025/02/quarterly-medical-device-warning-letters-update-october-december-2024-and-2024-annual-summary.pdf" TargetMode="External"/><Relationship Id="rId19" Type="http://schemas.openxmlformats.org/officeDocument/2006/relationships/hyperlink" Target="https://www.fda.gov/media/191961/download"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