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3366" w:sz="18"/>
        </w:pBdr>
        <w:spacing w:after="200" w:before="0"/>
      </w:pPr>
    </w:p>
    <w:p>
      <w:pPr>
        <w:spacing w:after="100" w:before="0"/>
        <w:jc w:val="center"/>
      </w:pPr>
      <w:r>
        <w:rPr>
          <w:rFonts w:ascii="Arial" w:cs="Arial" w:eastAsia="Arial" w:hAnsi="Arial"/>
          <w:b/>
          <w:bCs/>
          <w:color w:val="2E75B6"/>
          <w:sz w:val="18"/>
          <w:szCs w:val="18"/>
        </w:rPr>
        <w:t xml:space="preserve">IEEE TRANSACTIONS ON BIOMEDICAL ENGINEERING</w:t>
      </w:r>
    </w:p>
    <w:p>
      <w:pPr>
        <w:spacing w:after="200" w:before="200"/>
        <w:jc w:val="center"/>
      </w:pPr>
      <w:r>
        <w:rPr>
          <w:rFonts w:ascii="Arial" w:cs="Arial" w:eastAsia="Arial" w:hAnsi="Arial"/>
          <w:b/>
          <w:bCs/>
          <w:color w:val="003366"/>
          <w:sz w:val="36"/>
          <w:szCs w:val="36"/>
        </w:rPr>
        <w:t xml:space="preserve">CRISPR-Cas9 Mediated Gene Editing of TSG101 to Investigate Its Role in ESCRT-Dependent Exosome Biogenesis and Cellular Signalling</w:t>
      </w:r>
    </w:p>
    <w:p>
      <w:pPr>
        <w:pBdr>
          <w:bottom w:val="single" w:color="2E75B6" w:sz="8"/>
        </w:pBdr>
        <w:spacing w:after="200" w:before="0"/>
      </w:pPr>
    </w:p>
    <w:p>
      <w:pPr>
        <w:spacing w:after="60" w:before="0"/>
        <w:jc w:val="center"/>
      </w:pPr>
      <w:r>
        <w:rPr>
          <w:rFonts w:ascii="Arial" w:cs="Arial" w:eastAsia="Arial" w:hAnsi="Arial"/>
          <w:b/>
          <w:bCs/>
          <w:color w:val="222222"/>
          <w:sz w:val="24"/>
          <w:szCs w:val="24"/>
        </w:rPr>
        <w:t xml:space="preserve">Muskan Muskan</w:t>
      </w:r>
    </w:p>
    <w:p>
      <w:pPr>
        <w:spacing w:after="60" w:before="0"/>
        <w:jc w:val="center"/>
      </w:pPr>
      <w:r>
        <w:rPr>
          <w:rFonts w:ascii="Times New Roman" w:cs="Times New Roman" w:eastAsia="Times New Roman" w:hAnsi="Times New Roman"/>
          <w:i/>
          <w:iCs/>
          <w:color w:val="555555"/>
          <w:sz w:val="20"/>
          <w:szCs w:val="20"/>
        </w:rPr>
        <w:t xml:space="preserve">BSc Hons Biomedical Science  |  Student ID: 001325981</w:t>
      </w:r>
    </w:p>
    <w:p>
      <w:pPr>
        <w:spacing w:after="60" w:before="0"/>
        <w:jc w:val="center"/>
      </w:pPr>
      <w:r>
        <w:rPr>
          <w:rFonts w:ascii="Times New Roman" w:cs="Times New Roman" w:eastAsia="Times New Roman" w:hAnsi="Times New Roman"/>
          <w:i/>
          <w:iCs/>
          <w:color w:val="555555"/>
          <w:sz w:val="20"/>
          <w:szCs w:val="20"/>
        </w:rPr>
        <w:t xml:space="preserve">Supervised by Dr. Simon Richardson</w:t>
      </w:r>
    </w:p>
    <w:p>
      <w:pPr>
        <w:spacing w:after="300" w:before="0"/>
        <w:jc w:val="center"/>
      </w:pPr>
      <w:r>
        <w:rPr>
          <w:rFonts w:ascii="Times New Roman" w:cs="Times New Roman" w:eastAsia="Times New Roman" w:hAnsi="Times New Roman"/>
          <w:i/>
          <w:iCs/>
          <w:color w:val="555555"/>
          <w:sz w:val="20"/>
          <w:szCs w:val="20"/>
        </w:rPr>
        <w:t xml:space="preserve">Submission: 1st April 2026</w:t>
      </w:r>
    </w:p>
    <w:p>
      <w:pPr>
        <w:pBdr>
          <w:top w:val="single" w:color="2E75B6" w:sz="6"/>
          <w:left w:val="single" w:color="2E75B6" w:sz="16"/>
          <w:bottom w:val="single" w:color="2E75B6" w:sz="6"/>
          <w:right w:val="single" w:color="2E75B6" w:sz="6"/>
        </w:pBdr>
        <w:shd w:fill="E8F0F7" w:val="clear"/>
        <w:spacing w:after="0" w:before="0"/>
      </w:pPr>
      <w:r>
        <w:rPr>
          <w:rFonts w:ascii="Arial" w:cs="Arial" w:eastAsia="Arial" w:hAnsi="Arial"/>
          <w:b/>
          <w:bCs/>
          <w:color w:val="003366"/>
          <w:sz w:val="22"/>
          <w:szCs w:val="22"/>
        </w:rPr>
        <w:t xml:space="preserve">  ABSTRACT</w:t>
      </w:r>
    </w:p>
    <w:p>
      <w:pPr>
        <w:pBdr>
          <w:left w:val="single" w:color="2E75B6" w:sz="16"/>
          <w:bottom w:val="single" w:color="2E75B6" w:sz="6"/>
          <w:right w:val="single" w:color="2E75B6" w:sz="6"/>
        </w:pBdr>
        <w:shd w:fill="E8F0F7" w:val="clear"/>
        <w:spacing w:after="0" w:before="0"/>
        <w:ind w:left="200" w:right="200"/>
      </w:pPr>
      <w:r>
        <w:rPr>
          <w:rFonts w:ascii="Times New Roman" w:cs="Times New Roman" w:eastAsia="Times New Roman" w:hAnsi="Times New Roman"/>
          <w:color w:val="222222"/>
          <w:sz w:val="19"/>
          <w:szCs w:val="19"/>
        </w:rPr>
        <w:t xml:space="preserve">The functional interrogation of non-canonical tumour suppressor genes represents a critical frontier in cancer biology. This paper presents a precision-engineered CRISPR-Cas9 approach targeting TSG101—a central subunit of the Endosomal Sorting Complex Required for Transport-I (ESCRT-I)—to elucidate its mechanistic role in exosome biogenesis and oncogenic signalling. A computationally optimised single guide RNA (sgRNA) was designed using Benchling bioinformatics tools, achieving a GC content of 55–60%, an on-target efficiency score exceeding 70, and an off-target Combined Frequency Distribution (CFD) score below 0.05. Oligonucleotide duplexes were cloned into the pSpCas9(BB)-2A-Puro (PX459) vector via BbsI-mediated restriction digestion and T4 ligation with an estimated efficiency of 70–85%. Correct sgRNA insertion was validated by colony PCR (amplicon ~400 bp) and Sanger sequencing, yielding 100% pairwise identity across both short (20 bp) and extended (637 bp) read lengths. Chromatogram analysis demonstrated high-fidelity base calls (peak height 700–1200 RFU, baseline &lt;100 RFU, Phred Q ≥ 30, SNR ~10:1) with no insertions, deletions, or off-target integrations. Miniprep DNA concentrations ranged from 80.38 to 199.3 µg/mL with A260/A280 ratios of 1.85–1.99, indicating high purity. The engineered construct is predicted to achieve 45–70% genome editing efficiency in mammalian cells. This study establishes a validated, reproducible molecular pipeline for CRISPR-mediated TSG101 disruption and provides a functional tool to dissect ESCRT-dependent tumour suppressor mechanisms.</w:t>
      </w:r>
    </w:p>
    <w:p>
      <w:pPr>
        <w:pBdr>
          <w:left w:val="single" w:color="2E75B6" w:sz="16"/>
          <w:bottom w:val="single" w:color="2E75B6" w:sz="6"/>
          <w:right w:val="single" w:color="2E75B6" w:sz="6"/>
        </w:pBdr>
        <w:shd w:fill="E8F0F7" w:val="clear"/>
        <w:spacing w:after="0" w:before="60"/>
        <w:ind w:left="200" w:right="200"/>
      </w:pPr>
      <w:r>
        <w:rPr>
          <w:rFonts w:ascii="Arial" w:cs="Arial" w:eastAsia="Arial" w:hAnsi="Arial"/>
          <w:b/>
          <w:bCs/>
          <w:i/>
          <w:iCs/>
          <w:color w:val="003366"/>
          <w:sz w:val="19"/>
          <w:szCs w:val="19"/>
        </w:rPr>
        <w:t xml:space="preserve">Index Terms</w:t>
      </w:r>
      <w:r>
        <w:rPr>
          <w:rFonts w:ascii="Times New Roman" w:cs="Times New Roman" w:eastAsia="Times New Roman" w:hAnsi="Times New Roman"/>
          <w:i/>
          <w:iCs/>
          <w:color w:val="222222"/>
          <w:sz w:val="19"/>
          <w:szCs w:val="19"/>
        </w:rPr>
        <w:t xml:space="preserve"> — CRISPR-Cas9, TSG101, ESCRT pathway, exosome biogenesis, tumour suppressor, sgRNA design, PX459, gene editing, endosomal sorting, cancer signalling.</w:t>
      </w:r>
    </w:p>
    <w:p>
      <w:pPr>
        <w:spacing w:after="200" w:before="0"/>
      </w:pPr>
    </w:p>
    <w:p>
      <w:pPr>
        <w:pBdr>
          <w:bottom w:val="single" w:color="2E75B6" w:sz="6" w:space="2"/>
        </w:pBdr>
        <w:spacing w:after="80" w:before="240"/>
      </w:pPr>
      <w:r>
        <w:rPr>
          <w:rFonts w:ascii="Arial" w:cs="Arial" w:eastAsia="Arial" w:hAnsi="Arial"/>
          <w:b/>
          <w:bCs/>
          <w:color w:val="003366"/>
          <w:sz w:val="22"/>
          <w:szCs w:val="22"/>
        </w:rPr>
        <w:t>I. INTRODUCTION</w:t>
      </w:r>
    </w:p>
    <w:p>
      <w:pPr>
        <w:spacing w:after="80" w:before="0" w:line="276"/>
        <w:ind w:firstLine="440"/>
        <w:jc w:val="both"/>
      </w:pPr>
      <w:r>
        <w:rPr>
          <w:rFonts w:ascii="Times New Roman" w:cs="Times New Roman" w:eastAsia="Times New Roman" w:hAnsi="Times New Roman"/>
          <w:color w:val="222222"/>
          <w:sz w:val="20"/>
          <w:szCs w:val="20"/>
        </w:rPr>
        <w:t xml:space="preserve">Genome editing technologies have fundamentally transformed biomedical research, enabling precise interrogation of gene function at single-nucleotide resolution. Among contemporary tools, the CRISPR-Cas9 system—based on a type II bacterial adaptive immune mechanism—stands out for its unparalleled programmability, cost-effectiveness, and efficiency [1], [2]. By harnessing a single guide RNA (sgRNA) to direct the Cas9 endonuclease to a complementary genomic target adjacent to a protospacer adjacent motif (PAM; 5′-NGG-3′), site-specific double-strand breaks (DSBs) can be introduced and repaired by error-prone non-homologous end joining (NHEJ) to generate functional knockouts or by homology-directed repair (HDR) for precise sequence replacement [3].</w:t>
      </w:r>
    </w:p>
    <w:p>
      <w:pPr>
        <w:spacing w:after="80" w:before="0" w:line="276"/>
        <w:ind w:firstLine="440"/>
        <w:jc w:val="both"/>
      </w:pPr>
      <w:r>
        <w:rPr>
          <w:rFonts w:ascii="Times New Roman" w:cs="Times New Roman" w:eastAsia="Times New Roman" w:hAnsi="Times New Roman"/>
          <w:color w:val="222222"/>
          <w:sz w:val="20"/>
          <w:szCs w:val="20"/>
        </w:rPr>
        <w:t xml:space="preserve">A key target for CRISPR-mediated functional analysis is Tumour Susceptibility Gene 101 (TSG101), a multidomain protein residing on chromosome 11p15 that forms a structural subunit of the ESCRT-I (Endosomal Sorting Complex Required for Transport-I) complex. TSG101 is a nexus integrating vesicular trafficking, growth factor receptor downregulation, cell cycle regulation, and exosome biogenesis [4]. Its catalytically inactive ubiquitin E2 variant (UEV) domain recruits ubiquitinated transmembrane cargo—including the epidermal growth factor receptor (EGFR) and programmed death-ligand 1 (PD-L1)—into intraluminal vesicles (ILVs) of multivesicular bodies (MVBs). MVBs may subsequently fuse with lysosomes for proteolytic degradation or with the plasma membrane to release exosomes into the extracellular space, thereby modulating intercellular communication and immune evasion in the tumour microenvironment [5].</w:t>
      </w:r>
    </w:p>
    <w:p>
      <w:pPr>
        <w:spacing w:after="80" w:before="0" w:line="276"/>
        <w:ind w:firstLine="440"/>
        <w:jc w:val="both"/>
      </w:pPr>
      <w:r>
        <w:rPr>
          <w:rFonts w:ascii="Times New Roman" w:cs="Times New Roman" w:eastAsia="Times New Roman" w:hAnsi="Times New Roman"/>
          <w:color w:val="222222"/>
          <w:sz w:val="20"/>
          <w:szCs w:val="20"/>
        </w:rPr>
        <w:t xml:space="preserve">Despite extensive characterisation of the broader ESCRT machinery, the precise contribution of TSG101 to exosome biogenesis and the downstream effects of its loss on oncogenic signalling networks remain incompletely understood. Published data indicate that TSG101 overexpression occurs in hepatocellular carcinoma, breast, and prostate cancer, while loss-of-function mutations correlate with chromosomal instability and enhanced tumour aggressiveness [6]. This context-dependent, dual oncogenic/suppressive behaviour underscores the need for controlled knockout models.</w:t>
      </w:r>
    </w:p>
    <w:p>
      <w:pPr>
        <w:spacing w:after="60" w:before="160"/>
      </w:pPr>
      <w:r>
        <w:rPr>
          <w:rFonts w:ascii="Arial" w:cs="Arial" w:eastAsia="Arial" w:hAnsi="Arial"/>
          <w:b/>
          <w:bCs/>
          <w:i/>
          <w:iCs/>
          <w:color w:val="1F4E79"/>
          <w:sz w:val="20"/>
          <w:szCs w:val="20"/>
        </w:rPr>
        <w:t xml:space="preserve">A. Research Question and Hypothesis</w:t>
      </w:r>
    </w:p>
    <w:p>
      <w:pPr>
        <w:spacing w:after="80" w:before="0" w:line="276"/>
        <w:ind w:firstLine="440"/>
        <w:jc w:val="both"/>
      </w:pPr>
      <w:r>
        <w:rPr>
          <w:rFonts w:ascii="Times New Roman" w:cs="Times New Roman" w:eastAsia="Times New Roman" w:hAnsi="Times New Roman"/>
          <w:color w:val="222222"/>
          <w:sz w:val="20"/>
          <w:szCs w:val="20"/>
        </w:rPr>
        <w:t xml:space="preserve">This study addresses the following central question: Can CRISPR-Cas9-mediated disruption of TSG101 be reliably engineered and validated at the molecular level as a prerequisite for functional studies of ESCRT-dependent exosome biogenesis and cancer-relevant signalling? The central hypothesis is that a computationally optimised sgRNA cloned into the PX459 expression vector will achieve sequence-verified, high-fidelity insertion, providing a validated molecular tool to generate TSG101 knockout cell lines for downstream functional interrogation.</w:t>
      </w:r>
    </w:p>
    <w:p>
      <w:pPr>
        <w:spacing w:after="60" w:before="160"/>
      </w:pPr>
      <w:r>
        <w:rPr>
          <w:rFonts w:ascii="Arial" w:cs="Arial" w:eastAsia="Arial" w:hAnsi="Arial"/>
          <w:b/>
          <w:bCs/>
          <w:i/>
          <w:iCs/>
          <w:color w:val="1F4E79"/>
          <w:sz w:val="20"/>
          <w:szCs w:val="20"/>
        </w:rPr>
        <w:t xml:space="preserve">B. Aims and Objectives</w:t>
      </w:r>
    </w:p>
    <w:p>
      <w:pPr>
        <w:spacing w:after="30" w:before="30"/>
        <w:ind w:left="440" w:hanging="440"/>
      </w:pPr>
      <w:r>
        <w:rPr>
          <w:rFonts w:ascii="Arial" w:cs="Arial" w:eastAsia="Arial" w:hAnsi="Arial"/>
          <w:b/>
          <w:bCs/>
          <w:color w:val="2E75B6"/>
          <w:sz w:val="20"/>
          <w:szCs w:val="20"/>
        </w:rPr>
        <w:t xml:space="preserve">▸  </w:t>
      </w:r>
      <w:r>
        <w:rPr>
          <w:rFonts w:ascii="Times New Roman" w:cs="Times New Roman" w:eastAsia="Times New Roman" w:hAnsi="Times New Roman"/>
          <w:color w:val="222222"/>
          <w:sz w:val="20"/>
          <w:szCs w:val="20"/>
        </w:rPr>
        <w:t xml:space="preserve">Design a high-specificity sgRNA targeting an early coding exon of TSG101 with optimised on-target efficiency and minimal off-target propensity.</w:t>
      </w:r>
    </w:p>
    <w:p>
      <w:pPr>
        <w:spacing w:after="30" w:before="30"/>
        <w:ind w:left="440" w:hanging="440"/>
      </w:pPr>
      <w:r>
        <w:rPr>
          <w:rFonts w:ascii="Arial" w:cs="Arial" w:eastAsia="Arial" w:hAnsi="Arial"/>
          <w:b/>
          <w:bCs/>
          <w:color w:val="2E75B6"/>
          <w:sz w:val="20"/>
          <w:szCs w:val="20"/>
        </w:rPr>
        <w:t xml:space="preserve">▸  </w:t>
      </w:r>
      <w:r>
        <w:rPr>
          <w:rFonts w:ascii="Times New Roman" w:cs="Times New Roman" w:eastAsia="Times New Roman" w:hAnsi="Times New Roman"/>
          <w:color w:val="222222"/>
          <w:sz w:val="20"/>
          <w:szCs w:val="20"/>
        </w:rPr>
        <w:t xml:space="preserve">Clone the designed sgRNA into the PX459 vector via BbsI-mediated restriction cloning.</w:t>
      </w:r>
    </w:p>
    <w:p>
      <w:pPr>
        <w:spacing w:after="30" w:before="30"/>
        <w:ind w:left="440" w:hanging="440"/>
      </w:pPr>
      <w:r>
        <w:rPr>
          <w:rFonts w:ascii="Arial" w:cs="Arial" w:eastAsia="Arial" w:hAnsi="Arial"/>
          <w:b/>
          <w:bCs/>
          <w:color w:val="2E75B6"/>
          <w:sz w:val="20"/>
          <w:szCs w:val="20"/>
        </w:rPr>
        <w:t xml:space="preserve">▸  </w:t>
      </w:r>
      <w:r>
        <w:rPr>
          <w:rFonts w:ascii="Times New Roman" w:cs="Times New Roman" w:eastAsia="Times New Roman" w:hAnsi="Times New Roman"/>
          <w:color w:val="222222"/>
          <w:sz w:val="20"/>
          <w:szCs w:val="20"/>
        </w:rPr>
        <w:t xml:space="preserve">Validate construct integrity by restriction digest, colony PCR, miniprep quantification, and Sanger sequencing.</w:t>
      </w:r>
    </w:p>
    <w:p>
      <w:pPr>
        <w:spacing w:after="30" w:before="30"/>
        <w:ind w:left="440" w:hanging="440"/>
      </w:pPr>
      <w:r>
        <w:rPr>
          <w:rFonts w:ascii="Arial" w:cs="Arial" w:eastAsia="Arial" w:hAnsi="Arial"/>
          <w:b/>
          <w:bCs/>
          <w:color w:val="2E75B6"/>
          <w:sz w:val="20"/>
          <w:szCs w:val="20"/>
        </w:rPr>
        <w:t xml:space="preserve">▸  </w:t>
      </w:r>
      <w:r>
        <w:rPr>
          <w:rFonts w:ascii="Times New Roman" w:cs="Times New Roman" w:eastAsia="Times New Roman" w:hAnsi="Times New Roman"/>
          <w:color w:val="222222"/>
          <w:sz w:val="20"/>
          <w:szCs w:val="20"/>
        </w:rPr>
        <w:t xml:space="preserve">Establish a reproducible experimental pipeline applicable to TSG101 knockout in mammalian cell lines.</w:t>
      </w:r>
    </w:p>
    <w:p>
      <w:pPr>
        <w:spacing w:after="100" w:before="0" w:line="276"/>
        <w:jc w:val="both"/>
      </w:pPr>
    </w:p>
    <w:p>
      <w:pPr>
        <w:pBdr>
          <w:bottom w:val="single" w:color="2E75B6" w:sz="6" w:space="2"/>
        </w:pBdr>
        <w:spacing w:after="80" w:before="240"/>
      </w:pPr>
      <w:r>
        <w:rPr>
          <w:rFonts w:ascii="Arial" w:cs="Arial" w:eastAsia="Arial" w:hAnsi="Arial"/>
          <w:b/>
          <w:bCs/>
          <w:color w:val="003366"/>
          <w:sz w:val="22"/>
          <w:szCs w:val="22"/>
        </w:rPr>
        <w:t>II. BACKGROUND AND LITERATURE REVIEW</w:t>
      </w:r>
    </w:p>
    <w:p>
      <w:pPr>
        <w:spacing w:after="60" w:before="160"/>
      </w:pPr>
      <w:r>
        <w:rPr>
          <w:rFonts w:ascii="Arial" w:cs="Arial" w:eastAsia="Arial" w:hAnsi="Arial"/>
          <w:b/>
          <w:bCs/>
          <w:i/>
          <w:iCs/>
          <w:color w:val="1F4E79"/>
          <w:sz w:val="20"/>
          <w:szCs w:val="20"/>
        </w:rPr>
        <w:t xml:space="preserve">A. CRISPR-Cas9 Gene Editing</w:t>
      </w:r>
    </w:p>
    <w:p>
      <w:pPr>
        <w:spacing w:after="80" w:before="0" w:line="276"/>
        <w:ind w:firstLine="440"/>
        <w:jc w:val="both"/>
      </w:pPr>
      <w:r>
        <w:rPr>
          <w:rFonts w:ascii="Times New Roman" w:cs="Times New Roman" w:eastAsia="Times New Roman" w:hAnsi="Times New Roman"/>
          <w:color w:val="222222"/>
          <w:sz w:val="20"/>
          <w:szCs w:val="20"/>
        </w:rPr>
        <w:t xml:space="preserve">The CRISPR-Cas9 system, adapted from the Streptococcus pyogenes type II immune locus, requires only a ~100 nt sgRNA comprising a 20 nt target-complementary sequence fused to a structural scaffold for Cas9 recruitment [1]. Following target interrogation and R-loop formation between the sgRNA seed region and the PAM-proximal DNA strand, the RuvC and HNH nuclease domains of Cas9 cleave the non-complementary and complementary strands, respectively, generating a blunt-ended DSB predominantly 3 bp upstream of the PAM [3]. NHEJ-mediated repair introduces stochastic insertions or deletions (indels) that frequently shift the reading frame, ablating protein function—the mechanistic basis of CRISPR knockout experiments. Critical parameters for sgRNA efficacy include GC content (ideal 40–70%), avoidance of poly-T tracts (U6 RNA polymerase III termination signal), and proximity to functionally critical domains [2]. Computational tools such as Benchling and CRISPOR integrate machine-learning algorithms and genome-wide off-target prediction to prioritise sgRNA candidates.</w:t>
      </w:r>
    </w:p>
    <w:p>
      <w:pPr>
        <w:spacing w:after="60" w:before="160"/>
      </w:pPr>
      <w:r>
        <w:rPr>
          <w:rFonts w:ascii="Arial" w:cs="Arial" w:eastAsia="Arial" w:hAnsi="Arial"/>
          <w:b/>
          <w:bCs/>
          <w:i/>
          <w:iCs/>
          <w:color w:val="1F4E79"/>
          <w:sz w:val="20"/>
          <w:szCs w:val="20"/>
        </w:rPr>
        <w:t xml:space="preserve">B. TSG101 Biology</w:t>
      </w:r>
    </w:p>
    <w:p>
      <w:pPr>
        <w:spacing w:after="80" w:before="0" w:line="276"/>
        <w:ind w:firstLine="440"/>
        <w:jc w:val="both"/>
      </w:pPr>
      <w:r>
        <w:rPr>
          <w:rFonts w:ascii="Times New Roman" w:cs="Times New Roman" w:eastAsia="Times New Roman" w:hAnsi="Times New Roman"/>
          <w:color w:val="222222"/>
          <w:sz w:val="20"/>
          <w:szCs w:val="20"/>
        </w:rPr>
        <w:t xml:space="preserve">TSG101 was originally identified by Li and Cohen (1996) as a loss-of-function gene that, when disrupted in mouse fibroblasts, led to metastatic tumour formation, cementing its canonical tumour suppressor classification. At the structural level, the N-terminal UEV domain engages K63-linked ubiquitin chains on endocytic cargo, while the central coiled-coil domain mediates ESCRT-I complex assembly with TSG101, VPS28, VPS37, and MVB12 subunits [5]. Downstream ESCRT-II and ESCRT-III complexes, together with the AAA-ATPase VPS4, drive membrane invagination and ILV scission.</w:t>
      </w:r>
    </w:p>
    <w:p>
      <w:pPr>
        <w:spacing w:after="80" w:before="0" w:line="276"/>
        <w:ind w:firstLine="440"/>
        <w:jc w:val="both"/>
      </w:pPr>
      <w:r>
        <w:rPr>
          <w:rFonts w:ascii="Times New Roman" w:cs="Times New Roman" w:eastAsia="Times New Roman" w:hAnsi="Times New Roman"/>
          <w:color w:val="222222"/>
          <w:sz w:val="20"/>
          <w:szCs w:val="20"/>
        </w:rPr>
        <w:t xml:space="preserve">ESCRT-I activity is critical for the biogenesis of exosomes—30–150 nm extracellular vesicles—which carry a cargo of proteins, lipids, and nucleic acids that regulate recipient cell phenotypes in paracrine and endocrine fashions [7]. In oncological contexts, tumour-derived exosomes transfer oncoproteins and non-coding RNAs that promote angiogenesis, pre-metastatic niche formation, and immune checkpoint evasion. TSG101 has been proposed as both a positive regulator of exosome release and a quality-control checkpoint for cargo selection; its depletion has been reported to reduce exosome yield and alter vesicle proteomic composition in several cell models [8].</w:t>
      </w:r>
    </w:p>
    <w:p>
      <w:pPr>
        <w:spacing w:after="80" w:before="0" w:line="276"/>
        <w:ind w:firstLine="440"/>
        <w:jc w:val="both"/>
      </w:pPr>
      <w:r>
        <w:rPr>
          <w:rFonts w:ascii="Times New Roman" w:cs="Times New Roman" w:eastAsia="Times New Roman" w:hAnsi="Times New Roman"/>
          <w:color w:val="222222"/>
          <w:sz w:val="20"/>
          <w:szCs w:val="20"/>
        </w:rPr>
        <w:t xml:space="preserve">Beyond vesicle trafficking, TSG101 exhibits dynamic nuclear-cytoplasmic shuttling and localises to the midbody during late mitosis to coordinate cytokinetic abscission. TSG101 deficiency results in multinucleation, aberrant cyclin A/D expression, disrupted CDK activity, and G1 arrest, implicating it as a multifunctional regulator of cell cycle progression and genomic stability [9]. The dual oncogenic/suppressive phenotype observed across tumour types—overexpression promoting EGFR/PI3K/AKT signalling persistence, loss promoting chromosomal instability—highlights TSG101 as a contextually important therapeutic target.</w:t>
      </w:r>
    </w:p>
    <w:p>
      <w:pPr>
        <w:spacing w:after="60" w:before="160"/>
      </w:pPr>
      <w:r>
        <w:rPr>
          <w:rFonts w:ascii="Arial" w:cs="Arial" w:eastAsia="Arial" w:hAnsi="Arial"/>
          <w:b/>
          <w:bCs/>
          <w:i/>
          <w:iCs/>
          <w:color w:val="1F4E79"/>
          <w:sz w:val="20"/>
          <w:szCs w:val="20"/>
        </w:rPr>
        <w:t xml:space="preserve">C. Research Gap</w:t>
      </w:r>
    </w:p>
    <w:p>
      <w:pPr>
        <w:spacing w:after="80" w:before="0" w:line="276"/>
        <w:ind w:firstLine="440"/>
        <w:jc w:val="both"/>
      </w:pPr>
      <w:r>
        <w:rPr>
          <w:rFonts w:ascii="Times New Roman" w:cs="Times New Roman" w:eastAsia="Times New Roman" w:hAnsi="Times New Roman"/>
          <w:color w:val="222222"/>
          <w:sz w:val="20"/>
          <w:szCs w:val="20"/>
        </w:rPr>
        <w:t xml:space="preserve">While individual aspects of TSG101 biology are well characterised, a mechanistic dissection specifically linking TSG101 genetic disruption to quantitative changes in exosome biogenesis parameters (yield, size distribution, surface markers) and downstream oncogenic signalling cascades is lacking. Moreover, validated CRISPR reagents enabling efficient, sequence-confirmed TSG101 knockout in human cancer cell lines have not been systematically reported with high-resolution sequencing characterisation. The present study addresses this gap.</w:t>
      </w:r>
    </w:p>
    <w:p>
      <w:pPr>
        <w:spacing w:after="100" w:before="0" w:line="276"/>
        <w:jc w:val="both"/>
      </w:pPr>
    </w:p>
    <w:p>
      <w:pPr>
        <w:pBdr>
          <w:bottom w:val="single" w:color="2E75B6" w:sz="6" w:space="2"/>
        </w:pBdr>
        <w:spacing w:after="80" w:before="240"/>
      </w:pPr>
      <w:r>
        <w:rPr>
          <w:rFonts w:ascii="Arial" w:cs="Arial" w:eastAsia="Arial" w:hAnsi="Arial"/>
          <w:b/>
          <w:bCs/>
          <w:color w:val="003366"/>
          <w:sz w:val="22"/>
          <w:szCs w:val="22"/>
        </w:rPr>
        <w:t>III. MATERIALS AND METHODS</w:t>
      </w:r>
    </w:p>
    <w:p>
      <w:pPr>
        <w:spacing w:after="60" w:before="160"/>
      </w:pPr>
      <w:r>
        <w:rPr>
          <w:rFonts w:ascii="Arial" w:cs="Arial" w:eastAsia="Arial" w:hAnsi="Arial"/>
          <w:b/>
          <w:bCs/>
          <w:i/>
          <w:iCs/>
          <w:color w:val="1F4E79"/>
          <w:sz w:val="20"/>
          <w:szCs w:val="20"/>
        </w:rPr>
        <w:t xml:space="preserve">A. sgRNA Design and Bioinformatics</w:t>
      </w:r>
    </w:p>
    <w:p>
      <w:pPr>
        <w:spacing w:after="80" w:before="0" w:line="276"/>
        <w:ind w:firstLine="440"/>
        <w:jc w:val="both"/>
      </w:pPr>
      <w:r>
        <w:rPr>
          <w:rFonts w:ascii="Times New Roman" w:cs="Times New Roman" w:eastAsia="Times New Roman" w:hAnsi="Times New Roman"/>
          <w:color w:val="222222"/>
          <w:sz w:val="20"/>
          <w:szCs w:val="20"/>
        </w:rPr>
        <w:t xml:space="preserve">The reference sequence of the human TSG101 gene (NCBI Gene ID: 7251; Ensembl: ENSG00000082805) was retrieved and imported into Benchling molecular biology software. Target sequences were restricted to early coding exons to maximise the probability of functional gene disruption by premature stop codons or severe frameshift mutations. Candidate 20 nt spacers were evaluated against three selection criteria: (i) presence of an immediately downstream 5′-NGG-3′ PAM for SpCas9 recognition; (ii) on-target efficiency score &gt;60 (Benchling Rule Set 2 algorithm); and (iii) aggregate off-target CFD score &lt;0.10. Sequences with poly-T runs (≥4 consecutive thymidines) or GC content outside 40–70% were excluded. Two high-scoring candidate sequences were retained for experimental validation.</w:t>
      </w:r>
    </w:p>
    <w:p>
      <w:pPr>
        <w:spacing w:after="60" w:before="160"/>
      </w:pPr>
      <w:r>
        <w:rPr>
          <w:rFonts w:ascii="Arial" w:cs="Arial" w:eastAsia="Arial" w:hAnsi="Arial"/>
          <w:b/>
          <w:bCs/>
          <w:i/>
          <w:iCs/>
          <w:color w:val="1F4E79"/>
          <w:sz w:val="20"/>
          <w:szCs w:val="20"/>
        </w:rPr>
        <w:t xml:space="preserve">B. Oligonucleotide Synthesis and Annealing</w:t>
      </w:r>
    </w:p>
    <w:p>
      <w:pPr>
        <w:spacing w:after="80" w:before="0" w:line="276"/>
        <w:ind w:firstLine="440"/>
        <w:jc w:val="both"/>
      </w:pPr>
      <w:r>
        <w:rPr>
          <w:rFonts w:ascii="Times New Roman" w:cs="Times New Roman" w:eastAsia="Times New Roman" w:hAnsi="Times New Roman"/>
          <w:color w:val="222222"/>
          <w:sz w:val="20"/>
          <w:szCs w:val="20"/>
        </w:rPr>
        <w:t xml:space="preserve">Phosphorylated oligonucleotides incorporating the 20 nt spacer sequence with 5′-CACC overhang (forward) and 5′-AAAC overhang (reverse) compatible with BbsI-digested PX459 vector termini were synthesised commercially. Annealing was performed in a thermocycler: 95°C for 5 minutes followed by a controlled ramp to 25°C at −5°C/minute to produce a double-stranded insert with 4 nt 5′ overhangs.</w:t>
      </w:r>
    </w:p>
    <w:p>
      <w:pPr>
        <w:spacing w:after="60" w:before="160"/>
      </w:pPr>
      <w:r>
        <w:rPr>
          <w:rFonts w:ascii="Arial" w:cs="Arial" w:eastAsia="Arial" w:hAnsi="Arial"/>
          <w:b/>
          <w:bCs/>
          <w:i/>
          <w:iCs/>
          <w:color w:val="1F4E79"/>
          <w:sz w:val="20"/>
          <w:szCs w:val="20"/>
        </w:rPr>
        <w:t xml:space="preserve">C. Plasmid Preparation and Restriction Digestion</w:t>
      </w:r>
    </w:p>
    <w:p>
      <w:pPr>
        <w:spacing w:after="80" w:before="0" w:line="276"/>
        <w:ind w:firstLine="440"/>
        <w:jc w:val="both"/>
      </w:pPr>
      <w:r>
        <w:rPr>
          <w:rFonts w:ascii="Times New Roman" w:cs="Times New Roman" w:eastAsia="Times New Roman" w:hAnsi="Times New Roman"/>
          <w:color w:val="222222"/>
          <w:sz w:val="20"/>
          <w:szCs w:val="20"/>
        </w:rPr>
        <w:t xml:space="preserve">The pSpCas9(BB)-2A-Puro V2.0 (PX459) plasmid (Addgene #62988) expressing SpCas9 under the CMV promoter and an sgRNA scaffold under the human U6 RNA polymerase III promoter was expanded in DH5α E. coli. Plasmid DNA was purified using a standard alkaline lysis miniprep protocol. For linearisation, 1 µg of PX459 was digested with BbsI (New England Biolabs) at 37°C for 1 hour in CutSmart® Buffer. Complete linearisation was verified by agarose gel electrophoresis, with the expected ~9.2 kb linear product distinguished from supercoiled (~6–7 kb apparent) and open-circular (~10–12 kb apparent) forms using a 1 kb DNA ladder.</w:t>
      </w:r>
    </w:p>
    <w:p>
      <w:pPr>
        <w:spacing w:after="60" w:before="160"/>
      </w:pPr>
      <w:r>
        <w:rPr>
          <w:rFonts w:ascii="Arial" w:cs="Arial" w:eastAsia="Arial" w:hAnsi="Arial"/>
          <w:b/>
          <w:bCs/>
          <w:i/>
          <w:iCs/>
          <w:color w:val="1F4E79"/>
          <w:sz w:val="20"/>
          <w:szCs w:val="20"/>
        </w:rPr>
        <w:t xml:space="preserve">D. Ligation and Bacterial Transformation</w:t>
      </w:r>
    </w:p>
    <w:p>
      <w:pPr>
        <w:spacing w:after="80" w:before="0" w:line="276"/>
        <w:ind w:firstLine="440"/>
        <w:jc w:val="both"/>
      </w:pPr>
      <w:r>
        <w:rPr>
          <w:rFonts w:ascii="Times New Roman" w:cs="Times New Roman" w:eastAsia="Times New Roman" w:hAnsi="Times New Roman"/>
          <w:color w:val="222222"/>
          <w:sz w:val="20"/>
          <w:szCs w:val="20"/>
        </w:rPr>
        <w:t xml:space="preserve">The phosphorylated annealed insert was ligated into BbsI-linearised PX459 using T4 DNA Ligase (NEB) at a 3:1 molar insert-to-vector ratio in a final volume of 20 µL. Ligation was performed at 16°C overnight. The ligated product was transformed into chemically competent DH5α E. coli by heat shock (42°C, 42 seconds) followed by recovery in SOC medium at 37°C for 1 hour with shaking. Transformants were plated on LB agar supplemented with 100 µg/mL ampicillin and incubated overnight at 37°C. Plates containing no insert (negative control) were processed in parallel.</w:t>
      </w:r>
    </w:p>
    <w:p>
      <w:pPr>
        <w:spacing w:after="60" w:before="160"/>
      </w:pPr>
      <w:r>
        <w:rPr>
          <w:rFonts w:ascii="Arial" w:cs="Arial" w:eastAsia="Arial" w:hAnsi="Arial"/>
          <w:b/>
          <w:bCs/>
          <w:i/>
          <w:iCs/>
          <w:color w:val="1F4E79"/>
          <w:sz w:val="20"/>
          <w:szCs w:val="20"/>
        </w:rPr>
        <w:t xml:space="preserve">E. Colony PCR Screening</w:t>
      </w:r>
    </w:p>
    <w:p>
      <w:pPr>
        <w:spacing w:after="80" w:before="0" w:line="276"/>
        <w:ind w:firstLine="440"/>
        <w:jc w:val="both"/>
      </w:pPr>
      <w:r>
        <w:rPr>
          <w:rFonts w:ascii="Times New Roman" w:cs="Times New Roman" w:eastAsia="Times New Roman" w:hAnsi="Times New Roman"/>
          <w:color w:val="222222"/>
          <w:sz w:val="20"/>
          <w:szCs w:val="20"/>
        </w:rPr>
        <w:t xml:space="preserve">Individual colonies were screened by colony PCR using a U6 promoter-specific forward primer (5′-GAGGGCCTATTTCCCATGATT-3′) and an sgRNA scaffold-specific reverse primer. Reaction conditions were: initial denaturation 95°C/3 min; 30 cycles of 95°C/30 s (denaturation), 57°C/30 s (annealing), 72°C/30 s (extension); final extension 72°C/5 min. Amplicons of ~400 bp were expected for colonies harbouring the sgRNA insert. PCR products were resolved on a 1.5% agarose gel in TAE buffer at 100 V for 35 minutes and visualised under UV illumination following ethidium bromide staining.</w:t>
      </w:r>
    </w:p>
    <w:p>
      <w:pPr>
        <w:spacing w:after="60" w:before="160"/>
      </w:pPr>
      <w:r>
        <w:rPr>
          <w:rFonts w:ascii="Arial" w:cs="Arial" w:eastAsia="Arial" w:hAnsi="Arial"/>
          <w:b/>
          <w:bCs/>
          <w:i/>
          <w:iCs/>
          <w:color w:val="1F4E79"/>
          <w:sz w:val="20"/>
          <w:szCs w:val="20"/>
        </w:rPr>
        <w:t xml:space="preserve">F. Plasmid Extraction and Spectrophotometric Quantification</w:t>
      </w:r>
    </w:p>
    <w:p>
      <w:pPr>
        <w:spacing w:after="80" w:before="0" w:line="276"/>
        <w:ind w:firstLine="440"/>
        <w:jc w:val="both"/>
      </w:pPr>
      <w:r>
        <w:rPr>
          <w:rFonts w:ascii="Times New Roman" w:cs="Times New Roman" w:eastAsia="Times New Roman" w:hAnsi="Times New Roman"/>
          <w:color w:val="222222"/>
          <w:sz w:val="20"/>
          <w:szCs w:val="20"/>
        </w:rPr>
        <w:t xml:space="preserve">Positive colonies were inoculated into 5 mL LB broth containing 100 µg/mL ampicillin and cultured overnight at 37°C with shaking at 220 rpm. Plasmid DNA was extracted using a commercial spin-column miniprep kit. DNA concentration and purity were assessed using a BioDrop µLITE spectrophotometer. Absorbance was measured at 260 nm (nucleic acid), 280 nm (protein), and 230 nm (organic contaminants). DNA concentration was calculated as: Concentration (µg/mL) = A260 × 50 µg/mL × dilution factor. Purity was assessed by the A260/A280 ratio (acceptable range 1.8–2.0 for pure dsDNA) and the A260/A230 ratio (acceptable &gt;2.0).</w:t>
      </w:r>
    </w:p>
    <w:p>
      <w:pPr>
        <w:spacing w:after="60" w:before="160"/>
      </w:pPr>
      <w:r>
        <w:rPr>
          <w:rFonts w:ascii="Arial" w:cs="Arial" w:eastAsia="Arial" w:hAnsi="Arial"/>
          <w:b/>
          <w:bCs/>
          <w:i/>
          <w:iCs/>
          <w:color w:val="1F4E79"/>
          <w:sz w:val="20"/>
          <w:szCs w:val="20"/>
        </w:rPr>
        <w:t xml:space="preserve">G. Sanger Sequencing and Sequence Alignment</w:t>
      </w:r>
    </w:p>
    <w:p>
      <w:pPr>
        <w:spacing w:after="80" w:before="0" w:line="276"/>
        <w:ind w:firstLine="440"/>
        <w:jc w:val="both"/>
      </w:pPr>
      <w:r>
        <w:rPr>
          <w:rFonts w:ascii="Times New Roman" w:cs="Times New Roman" w:eastAsia="Times New Roman" w:hAnsi="Times New Roman"/>
          <w:color w:val="222222"/>
          <w:sz w:val="20"/>
          <w:szCs w:val="20"/>
        </w:rPr>
        <w:t xml:space="preserve">Purified plasmid DNA (200–300 ng) was submitted for Sanger sequencing using the U6 promoter primer. Resulting chromatograms were analysed in Benchling by pairwise alignment with the expected reference sequence. Chromatogram quality was assessed by mean peak height (target &gt;500 RFU), baseline noise (&lt;200 RFU), Phred quality score (Q ≥ 20 for acceptable; ≥30 for high confidence), and absence of ambiguous base calls within the sgRNA region. Correct insertion was defined as 100% pairwise identity across the sgRNA spacer with no insertions, deletions, or substitutions.</w:t>
      </w:r>
    </w:p>
    <w:p>
      <w:pPr>
        <w:spacing w:after="100" w:before="0" w:line="276"/>
        <w:jc w:val="both"/>
      </w:pPr>
    </w:p>
    <w:p>
      <w:pPr>
        <w:pBdr>
          <w:bottom w:val="single" w:color="2E75B6" w:sz="6" w:space="2"/>
        </w:pBdr>
        <w:spacing w:after="80" w:before="240"/>
      </w:pPr>
      <w:r>
        <w:rPr>
          <w:rFonts w:ascii="Arial" w:cs="Arial" w:eastAsia="Arial" w:hAnsi="Arial"/>
          <w:b/>
          <w:bCs/>
          <w:color w:val="003366"/>
          <w:sz w:val="22"/>
          <w:szCs w:val="22"/>
        </w:rPr>
        <w:t>IV. RESULTS</w:t>
      </w:r>
    </w:p>
    <w:p>
      <w:pPr>
        <w:spacing w:after="60" w:before="160"/>
      </w:pPr>
      <w:r>
        <w:rPr>
          <w:rFonts w:ascii="Arial" w:cs="Arial" w:eastAsia="Arial" w:hAnsi="Arial"/>
          <w:b/>
          <w:bCs/>
          <w:i/>
          <w:iCs/>
          <w:color w:val="1F4E79"/>
          <w:sz w:val="20"/>
          <w:szCs w:val="20"/>
        </w:rPr>
        <w:t xml:space="preserve">A. sgRNA Design and Sequence Identification</w:t>
      </w:r>
    </w:p>
    <w:p>
      <w:pPr>
        <w:spacing w:after="80" w:before="0" w:line="276"/>
        <w:ind w:firstLine="440"/>
        <w:jc w:val="both"/>
      </w:pPr>
      <w:r>
        <w:rPr>
          <w:rFonts w:ascii="Times New Roman" w:cs="Times New Roman" w:eastAsia="Times New Roman" w:hAnsi="Times New Roman"/>
          <w:color w:val="222222"/>
          <w:sz w:val="20"/>
          <w:szCs w:val="20"/>
        </w:rPr>
        <w:t xml:space="preserve">Bioinformatics screening of the TSG101 coding sequence identified two high-scoring candidate sgRNAs in early exonic regions. The primary candidate (used in all cloning experiments) comprised the 20 nt spacer 5′-GACCTGTTACGAGTACCTGA-3′, with GC content of 55%, on-target efficiency score of 71.4, and CFD off-target score of 0.032 across the human genome—well within the threshold for acceptable specificity. A secondary candidate (TSG101-CR1: 5′-GAGCTTCCAGGACATCGTGG-3′; 55% GC) was retained as a backup. Both sequences were flanked by 5′-NGG-3′ PAM sequences within the same target exon. Full design parameters are detailed in Table I and the workflow is illustrated in Figs. 1–3.</w:t>
      </w:r>
    </w:p>
    <w:p>
      <w:pPr>
        <w:spacing w:after="100" w:before="0" w:line="276"/>
        <w:jc w:val="both"/>
      </w:pPr>
    </w:p>
    <w:p>
      <w:pPr>
        <w:spacing w:after="60" w:before="160"/>
        <w:jc w:val="center"/>
      </w:pPr>
      <w:r>
        <w:rPr>
          <w:rFonts w:ascii="Arial" w:cs="Arial" w:eastAsia="Arial" w:hAnsi="Arial"/>
          <w:b/>
          <w:bCs/>
          <w:color w:val="1F4E79"/>
          <w:sz w:val="19"/>
          <w:szCs w:val="19"/>
        </w:rPr>
        <w:t xml:space="preserve">TABLE I. Designed sgRNA Parameters and Selection Criteria for TSG101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700"/>
        <w:gridCol w:w="1860"/>
      </w:tblGrid>
      <w:tr>
        <w:tc>
          <w:tcPr>
            <w:tcW w:type="dxa" w:w="22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Parameter</w:t>
            </w:r>
          </w:p>
        </w:tc>
        <w:tc>
          <w:tcPr>
            <w:tcW w:type="dxa" w:w="36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Value / Sequence</w:t>
            </w:r>
          </w:p>
        </w:tc>
        <w:tc>
          <w:tcPr>
            <w:tcW w:type="dxa" w:w="17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Criterion</w:t>
            </w:r>
          </w:p>
        </w:tc>
        <w:tc>
          <w:tcPr>
            <w:tcW w:type="dxa" w:w="186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Status</w:t>
            </w:r>
          </w:p>
        </w:tc>
      </w:tr>
      <w:tr>
        <w:tc>
          <w:tcPr>
            <w:tcW w:type="dxa" w:w="22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sgRNA Target Sequence</w:t>
            </w:r>
          </w:p>
        </w:tc>
        <w:tc>
          <w:tcPr>
            <w:tcW w:type="dxa" w:w="3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5′-GACCTGTTACGAGTACCTGA-3′</w:t>
            </w:r>
          </w:p>
        </w:tc>
        <w:tc>
          <w:tcPr>
            <w:tcW w:type="dxa" w:w="17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20 nt</w:t>
            </w:r>
          </w:p>
        </w:tc>
        <w:tc>
          <w:tcPr>
            <w:tcW w:type="dxa" w:w="18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bCs/>
                <w:color w:val="222222"/>
                <w:sz w:val="18"/>
                <w:szCs w:val="18"/>
              </w:rPr>
              <w:t xml:space="preserve">✔ Pass</w:t>
            </w:r>
          </w:p>
        </w:tc>
      </w:tr>
      <w:tr>
        <w:tc>
          <w:tcPr>
            <w:tcW w:type="dxa" w:w="22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Alternative sgRNA (TSG101-CR1)</w:t>
            </w:r>
          </w:p>
        </w:tc>
        <w:tc>
          <w:tcPr>
            <w:tcW w:type="dxa" w:w="36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5′-GAGCTTCCAGGACATCGTGG-3′</w:t>
            </w:r>
          </w:p>
        </w:tc>
        <w:tc>
          <w:tcPr>
            <w:tcW w:type="dxa" w:w="17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20 nt</w:t>
            </w:r>
          </w:p>
        </w:tc>
        <w:tc>
          <w:tcPr>
            <w:tcW w:type="dxa" w:w="18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bCs/>
                <w:color w:val="222222"/>
                <w:sz w:val="18"/>
                <w:szCs w:val="18"/>
              </w:rPr>
              <w:t xml:space="preserve">✔ Pass</w:t>
            </w:r>
          </w:p>
        </w:tc>
      </w:tr>
      <w:tr>
        <w:tc>
          <w:tcPr>
            <w:tcW w:type="dxa" w:w="22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GC Content</w:t>
            </w:r>
          </w:p>
        </w:tc>
        <w:tc>
          <w:tcPr>
            <w:tcW w:type="dxa" w:w="3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55–60%</w:t>
            </w:r>
          </w:p>
        </w:tc>
        <w:tc>
          <w:tcPr>
            <w:tcW w:type="dxa" w:w="17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40–70%</w:t>
            </w:r>
          </w:p>
        </w:tc>
        <w:tc>
          <w:tcPr>
            <w:tcW w:type="dxa" w:w="18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bCs/>
                <w:color w:val="222222"/>
                <w:sz w:val="18"/>
                <w:szCs w:val="18"/>
              </w:rPr>
              <w:t xml:space="preserve">✔ Optimal</w:t>
            </w:r>
          </w:p>
        </w:tc>
      </w:tr>
      <w:tr>
        <w:tc>
          <w:tcPr>
            <w:tcW w:type="dxa" w:w="22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On-Target Efficiency Score</w:t>
            </w:r>
          </w:p>
        </w:tc>
        <w:tc>
          <w:tcPr>
            <w:tcW w:type="dxa" w:w="36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&gt;70 (Benchling/CRISPOR)</w:t>
            </w:r>
          </w:p>
        </w:tc>
        <w:tc>
          <w:tcPr>
            <w:tcW w:type="dxa" w:w="17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&gt;60</w:t>
            </w:r>
          </w:p>
        </w:tc>
        <w:tc>
          <w:tcPr>
            <w:tcW w:type="dxa" w:w="18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bCs/>
                <w:color w:val="222222"/>
                <w:sz w:val="18"/>
                <w:szCs w:val="18"/>
              </w:rPr>
              <w:t xml:space="preserve">✔ High</w:t>
            </w:r>
          </w:p>
        </w:tc>
      </w:tr>
      <w:tr>
        <w:tc>
          <w:tcPr>
            <w:tcW w:type="dxa" w:w="22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Off-Target CFD Score</w:t>
            </w:r>
          </w:p>
        </w:tc>
        <w:tc>
          <w:tcPr>
            <w:tcW w:type="dxa" w:w="3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&lt;0.05</w:t>
            </w:r>
          </w:p>
        </w:tc>
        <w:tc>
          <w:tcPr>
            <w:tcW w:type="dxa" w:w="17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&lt;0.10</w:t>
            </w:r>
          </w:p>
        </w:tc>
        <w:tc>
          <w:tcPr>
            <w:tcW w:type="dxa" w:w="18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bCs/>
                <w:color w:val="222222"/>
                <w:sz w:val="18"/>
                <w:szCs w:val="18"/>
              </w:rPr>
              <w:t xml:space="preserve">✔ Minimal</w:t>
            </w:r>
          </w:p>
        </w:tc>
      </w:tr>
      <w:tr>
        <w:tc>
          <w:tcPr>
            <w:tcW w:type="dxa" w:w="22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PAM Sequence</w:t>
            </w:r>
          </w:p>
        </w:tc>
        <w:tc>
          <w:tcPr>
            <w:tcW w:type="dxa" w:w="36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5′-NGG-3′</w:t>
            </w:r>
          </w:p>
        </w:tc>
        <w:tc>
          <w:tcPr>
            <w:tcW w:type="dxa" w:w="17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SpCas9 req.</w:t>
            </w:r>
          </w:p>
        </w:tc>
        <w:tc>
          <w:tcPr>
            <w:tcW w:type="dxa" w:w="18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bCs/>
                <w:color w:val="222222"/>
                <w:sz w:val="18"/>
                <w:szCs w:val="18"/>
              </w:rPr>
              <w:t xml:space="preserve">✔ Present</w:t>
            </w:r>
          </w:p>
        </w:tc>
      </w:tr>
      <w:tr>
        <w:tc>
          <w:tcPr>
            <w:tcW w:type="dxa" w:w="22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Target Exon</w:t>
            </w:r>
          </w:p>
        </w:tc>
        <w:tc>
          <w:tcPr>
            <w:tcW w:type="dxa" w:w="3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Early coding exon of TSG101</w:t>
            </w:r>
          </w:p>
        </w:tc>
        <w:tc>
          <w:tcPr>
            <w:tcW w:type="dxa" w:w="17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Functional region</w:t>
            </w:r>
          </w:p>
        </w:tc>
        <w:tc>
          <w:tcPr>
            <w:tcW w:type="dxa" w:w="18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bCs/>
                <w:color w:val="222222"/>
                <w:sz w:val="18"/>
                <w:szCs w:val="18"/>
              </w:rPr>
              <w:t xml:space="preserve">✔ Confirmed</w:t>
            </w:r>
          </w:p>
        </w:tc>
      </w:tr>
      <w:tr>
        <w:tc>
          <w:tcPr>
            <w:tcW w:type="dxa" w:w="22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Forward Oligo (BbsI overhang)</w:t>
            </w:r>
          </w:p>
        </w:tc>
        <w:tc>
          <w:tcPr>
            <w:tcW w:type="dxa" w:w="36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5′-CACCGACCTGTTACGAGTACCTGA-3′</w:t>
            </w:r>
          </w:p>
        </w:tc>
        <w:tc>
          <w:tcPr>
            <w:tcW w:type="dxa" w:w="17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Cloning</w:t>
            </w:r>
          </w:p>
        </w:tc>
        <w:tc>
          <w:tcPr>
            <w:tcW w:type="dxa" w:w="18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bCs/>
                <w:color w:val="222222"/>
                <w:sz w:val="18"/>
                <w:szCs w:val="18"/>
              </w:rPr>
              <w:t xml:space="preserve">✔ Synthesised</w:t>
            </w:r>
          </w:p>
        </w:tc>
      </w:tr>
      <w:tr>
        <w:tc>
          <w:tcPr>
            <w:tcW w:type="dxa" w:w="22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Reverse Oligo (BbsI overhang)</w:t>
            </w:r>
          </w:p>
        </w:tc>
        <w:tc>
          <w:tcPr>
            <w:tcW w:type="dxa" w:w="3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5′-AAACTCAGGTACTCGTAACAGGTC-3′</w:t>
            </w:r>
          </w:p>
        </w:tc>
        <w:tc>
          <w:tcPr>
            <w:tcW w:type="dxa" w:w="17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Cloning</w:t>
            </w:r>
          </w:p>
        </w:tc>
        <w:tc>
          <w:tcPr>
            <w:tcW w:type="dxa" w:w="18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bCs/>
                <w:color w:val="222222"/>
                <w:sz w:val="18"/>
                <w:szCs w:val="18"/>
              </w:rPr>
              <w:t xml:space="preserve">✔ Synthesised</w:t>
            </w:r>
          </w:p>
        </w:tc>
      </w:tr>
    </w:tbl>
    <w:p>
      <w:pPr>
        <w:spacing w:after="120" w:before="40"/>
        <w:jc w:val="center"/>
      </w:pPr>
      <w:r>
        <w:rPr>
          <w:rFonts w:ascii="Times New Roman" w:cs="Times New Roman" w:eastAsia="Times New Roman" w:hAnsi="Times New Roman"/>
          <w:i/>
          <w:iCs/>
          <w:color w:val="555555"/>
          <w:sz w:val="18"/>
          <w:szCs w:val="18"/>
        </w:rPr>
        <w:t xml:space="preserve">All criteria met the acceptance thresholds for high-specificity CRISPR-Cas9 targeting. GC content 55–60% is within the empirically established optimum range of 40–70%.</w:t>
      </w:r>
    </w:p>
    <w:p>
      <w:pPr>
        <w:spacing w:after="100" w:before="0" w:line="276"/>
        <w:jc w:val="both"/>
      </w:pPr>
    </w:p>
    <w:p>
      <w:pPr>
        <w:spacing w:after="0" w:before="60"/>
        <w:jc w:val="center"/>
      </w:pPr>
      <w:r>
        <w:rPr>
          <w:rFonts w:ascii="Courier New" w:cs="Courier New" w:eastAsia="Courier New" w:hAnsi="Courier New"/>
          <w:color w:val="2E75B6"/>
          <w:sz w:val="16"/>
          <w:szCs w:val="16"/>
        </w:rPr>
        <w:t xml:space="preserve">┌──────────────────────────────────────────────────────────────────────┐</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          ┌──────────────────────────────┐     │</w:t>
      </w:r>
    </w:p>
    <w:p>
      <w:pPr>
        <w:spacing w:after="0" w:before="0"/>
        <w:jc w:val="center"/>
      </w:pPr>
      <w:r>
        <w:rPr>
          <w:rFonts w:ascii="Courier New" w:cs="Courier New" w:eastAsia="Courier New" w:hAnsi="Courier New"/>
          <w:color w:val="222222"/>
          <w:sz w:val="16"/>
          <w:szCs w:val="16"/>
        </w:rPr>
        <w:t xml:space="preserve">│   │   sgRNA Design   │          │       TSG101 Genomic DNA     │     │</w:t>
      </w:r>
    </w:p>
    <w:p>
      <w:pPr>
        <w:spacing w:after="0" w:before="0"/>
        <w:jc w:val="center"/>
      </w:pPr>
      <w:r>
        <w:rPr>
          <w:rFonts w:ascii="Courier New" w:cs="Courier New" w:eastAsia="Courier New" w:hAnsi="Courier New"/>
          <w:color w:val="222222"/>
          <w:sz w:val="16"/>
          <w:szCs w:val="16"/>
        </w:rPr>
        <w:t xml:space="preserve">│   │  20 nt targeting │─────────▶│  5'─ ...NNNNGACCTGTTACGAGT  │      │</w:t>
      </w:r>
    </w:p>
    <w:p>
      <w:pPr>
        <w:spacing w:after="0" w:before="0"/>
        <w:jc w:val="center"/>
      </w:pPr>
      <w:r>
        <w:rPr>
          <w:rFonts w:ascii="Courier New" w:cs="Courier New" w:eastAsia="Courier New" w:hAnsi="Courier New"/>
          <w:color w:val="222222"/>
          <w:sz w:val="16"/>
          <w:szCs w:val="16"/>
        </w:rPr>
        <w:t xml:space="preserve">│   │  TSG101 exon     │          │            ─── NGG (PAM) ──  │     │</w:t>
      </w:r>
    </w:p>
    <w:p>
      <w:pPr>
        <w:spacing w:after="0" w:before="0"/>
        <w:jc w:val="center"/>
      </w:pPr>
      <w:r>
        <w:rPr>
          <w:rFonts w:ascii="Courier New" w:cs="Courier New" w:eastAsia="Courier New" w:hAnsi="Courier New"/>
          <w:color w:val="222222"/>
          <w:sz w:val="16"/>
          <w:szCs w:val="16"/>
        </w:rPr>
        <w:t xml:space="preserve">│   └──────────────────┘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                       │</w:t>
      </w:r>
    </w:p>
    <w:p>
      <w:pPr>
        <w:spacing w:after="0" w:before="0"/>
        <w:jc w:val="center"/>
      </w:pPr>
      <w:r>
        <w:rPr>
          <w:rFonts w:ascii="Courier New" w:cs="Courier New" w:eastAsia="Courier New" w:hAnsi="Courier New"/>
          <w:color w:val="222222"/>
          <w:sz w:val="16"/>
          <w:szCs w:val="16"/>
        </w:rPr>
        <w:t xml:space="preserve">│   │   Cas9 Nuclease  │──────────▶  ══ DSB ══╪═══════════════════     │</w:t>
      </w:r>
    </w:p>
    <w:p>
      <w:pPr>
        <w:spacing w:after="0" w:before="0"/>
        <w:jc w:val="center"/>
      </w:pPr>
      <w:r>
        <w:rPr>
          <w:rFonts w:ascii="Courier New" w:cs="Courier New" w:eastAsia="Courier New" w:hAnsi="Courier New"/>
          <w:color w:val="222222"/>
          <w:sz w:val="16"/>
          <w:szCs w:val="16"/>
        </w:rPr>
        <w:t xml:space="preserve">│   │  RuvC + HNH      │          Double-Strand Break Introduced       │</w:t>
      </w:r>
    </w:p>
    <w:p>
      <w:pPr>
        <w:spacing w:after="0" w:before="0"/>
        <w:jc w:val="center"/>
      </w:pPr>
      <w:r>
        <w:rPr>
          <w:rFonts w:ascii="Courier New" w:cs="Courier New" w:eastAsia="Courier New" w:hAnsi="Courier New"/>
          <w:color w:val="222222"/>
          <w:sz w:val="16"/>
          <w:szCs w:val="16"/>
        </w:rPr>
        <w:t xml:space="preserve">│   │  domains         │                       │                       │</w:t>
      </w:r>
    </w:p>
    <w:p>
      <w:pPr>
        <w:spacing w:after="0" w:before="0"/>
        <w:jc w:val="center"/>
      </w:pPr>
      <w:r>
        <w:rPr>
          <w:rFonts w:ascii="Courier New" w:cs="Courier New" w:eastAsia="Courier New" w:hAnsi="Courier New"/>
          <w:color w:val="222222"/>
          <w:sz w:val="16"/>
          <w:szCs w:val="16"/>
        </w:rPr>
        <w:t xml:space="preserve">│   └──────────────────┘          ┌────────────┴─────────────┐         │</w:t>
      </w:r>
    </w:p>
    <w:p>
      <w:pPr>
        <w:spacing w:after="0" w:before="0"/>
        <w:jc w:val="center"/>
      </w:pPr>
      <w:r>
        <w:rPr>
          <w:rFonts w:ascii="Courier New" w:cs="Courier New" w:eastAsia="Courier New" w:hAnsi="Courier New"/>
          <w:color w:val="222222"/>
          <w:sz w:val="16"/>
          <w:szCs w:val="16"/>
        </w:rPr>
        <w:t xml:space="preserve">│                                 ▼                           ▼        │</w:t>
      </w:r>
    </w:p>
    <w:p>
      <w:pPr>
        <w:spacing w:after="0" w:before="0"/>
        <w:jc w:val="center"/>
      </w:pPr>
      <w:r>
        <w:rPr>
          <w:rFonts w:ascii="Courier New" w:cs="Courier New" w:eastAsia="Courier New" w:hAnsi="Courier New"/>
          <w:color w:val="222222"/>
          <w:sz w:val="16"/>
          <w:szCs w:val="16"/>
        </w:rPr>
        <w:t xml:space="preserve">│                         ┌─────────────┐           ┌──────────────┐   │</w:t>
      </w:r>
    </w:p>
    <w:p>
      <w:pPr>
        <w:spacing w:after="0" w:before="0"/>
        <w:jc w:val="center"/>
      </w:pPr>
      <w:r>
        <w:rPr>
          <w:rFonts w:ascii="Courier New" w:cs="Courier New" w:eastAsia="Courier New" w:hAnsi="Courier New"/>
          <w:color w:val="222222"/>
          <w:sz w:val="16"/>
          <w:szCs w:val="16"/>
        </w:rPr>
        <w:t xml:space="preserve">│                         │ NHEJ Repair │           │  HDR Repair  │   │</w:t>
      </w:r>
    </w:p>
    <w:p>
      <w:pPr>
        <w:spacing w:after="0" w:before="0"/>
        <w:jc w:val="center"/>
      </w:pPr>
      <w:r>
        <w:rPr>
          <w:rFonts w:ascii="Courier New" w:cs="Courier New" w:eastAsia="Courier New" w:hAnsi="Courier New"/>
          <w:color w:val="222222"/>
          <w:sz w:val="16"/>
          <w:szCs w:val="16"/>
        </w:rPr>
        <w:t xml:space="preserve">│                         │  (Knockout) │           │ (Correction) │   │</w:t>
      </w:r>
    </w:p>
    <w:p>
      <w:pPr>
        <w:spacing w:after="0" w:before="0"/>
        <w:jc w:val="center"/>
      </w:pPr>
      <w:r>
        <w:rPr>
          <w:rFonts w:ascii="Courier New" w:cs="Courier New" w:eastAsia="Courier New" w:hAnsi="Courier New"/>
          <w:color w:val="222222"/>
          <w:sz w:val="16"/>
          <w:szCs w:val="16"/>
        </w:rPr>
        <w:t xml:space="preserve">│                         └─────────────┘           └──────────────┘   │</w:t>
      </w:r>
    </w:p>
    <w:p>
      <w:pPr>
        <w:spacing w:after="0" w:before="0"/>
        <w:jc w:val="center"/>
      </w:pPr>
      <w:r>
        <w:rPr>
          <w:rFonts w:ascii="Courier New" w:cs="Courier New" w:eastAsia="Courier New" w:hAnsi="Courier New"/>
          <w:color w:val="222222"/>
          <w:sz w:val="16"/>
          <w:szCs w:val="16"/>
        </w:rPr>
        <w:t xml:space="preserve">│                                                                      │</w:t>
      </w:r>
    </w:p>
    <w:p>
      <w:pPr>
        <w:spacing w:after="40" w:before="0"/>
        <w:jc w:val="center"/>
      </w:pPr>
      <w:r>
        <w:rPr>
          <w:rFonts w:ascii="Courier New" w:cs="Courier New" w:eastAsia="Courier New" w:hAnsi="Courier New"/>
          <w:color w:val="2E75B6"/>
          <w:sz w:val="16"/>
          <w:szCs w:val="16"/>
        </w:rPr>
        <w:t xml:space="preserve">└──────────────────────────────────────────────────────────────────────┘</w:t>
      </w:r>
    </w:p>
    <w:p>
      <w:pPr>
        <w:spacing w:after="120" w:before="40"/>
        <w:jc w:val="center"/>
      </w:pPr>
      <w:r>
        <w:rPr>
          <w:rFonts w:ascii="Times New Roman" w:cs="Times New Roman" w:eastAsia="Times New Roman" w:hAnsi="Times New Roman"/>
          <w:i/>
          <w:iCs/>
          <w:color w:val="555555"/>
          <w:sz w:val="18"/>
          <w:szCs w:val="18"/>
        </w:rPr>
        <w:t xml:space="preserve">Fig. 1. Schematic representation of CRISPR-Cas9-mediated gene editing at the TSG101 locus. The sgRNA (20 nt) guides Cas9 to the target sequence flanked by an NGG PAM motif, introducing a double-strand break (DSB) repaired via NHEJ or HDR.</w:t>
      </w:r>
    </w:p>
    <w:p>
      <w:pPr>
        <w:spacing w:after="0" w:before="60"/>
        <w:jc w:val="center"/>
      </w:pPr>
      <w:r>
        <w:rPr>
          <w:rFonts w:ascii="Courier New" w:cs="Courier New" w:eastAsia="Courier New" w:hAnsi="Courier New"/>
          <w:color w:val="2E75B6"/>
          <w:sz w:val="16"/>
          <w:szCs w:val="16"/>
        </w:rPr>
        <w:t xml:space="preserve">┌──────────────────────────────────────────────────────────────────────┐</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PX459 Plasmid (~9.2 kb)                          │</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Ampicillin R ─────── ╣           ╠ ─────── CMV Promoter            │</w:t>
      </w:r>
    </w:p>
    <w:p>
      <w:pPr>
        <w:spacing w:after="0" w:before="0"/>
        <w:jc w:val="center"/>
      </w:pPr>
      <w:r>
        <w:rPr>
          <w:rFonts w:ascii="Courier New" w:cs="Courier New" w:eastAsia="Courier New" w:hAnsi="Courier New"/>
          <w:color w:val="222222"/>
          <w:sz w:val="16"/>
          <w:szCs w:val="16"/>
        </w:rPr>
        <w:t xml:space="preserve">│   (Bacterial sel.)     ║  pSpCas9  ║         (Cas9 expression)       │</w:t>
      </w:r>
    </w:p>
    <w:p>
      <w:pPr>
        <w:spacing w:after="0" w:before="0"/>
        <w:jc w:val="center"/>
      </w:pPr>
      <w:r>
        <w:rPr>
          <w:rFonts w:ascii="Courier New" w:cs="Courier New" w:eastAsia="Courier New" w:hAnsi="Courier New"/>
          <w:color w:val="222222"/>
          <w:sz w:val="16"/>
          <w:szCs w:val="16"/>
        </w:rPr>
        <w:t xml:space="preserve">│                        ║  (BB)-2A  ║                                 │</w:t>
      </w:r>
    </w:p>
    <w:p>
      <w:pPr>
        <w:spacing w:after="0" w:before="0"/>
        <w:jc w:val="center"/>
      </w:pPr>
      <w:r>
        <w:rPr>
          <w:rFonts w:ascii="Courier New" w:cs="Courier New" w:eastAsia="Courier New" w:hAnsi="Courier New"/>
          <w:color w:val="222222"/>
          <w:sz w:val="16"/>
          <w:szCs w:val="16"/>
        </w:rPr>
        <w:t xml:space="preserve">│   Cas9 ORF ──────────  ╣           ╠ ─────── U6 Promoter             │</w:t>
      </w:r>
    </w:p>
    <w:p>
      <w:pPr>
        <w:spacing w:after="0" w:before="0"/>
        <w:jc w:val="center"/>
      </w:pPr>
      <w:r>
        <w:rPr>
          <w:rFonts w:ascii="Courier New" w:cs="Courier New" w:eastAsia="Courier New" w:hAnsi="Courier New"/>
          <w:color w:val="222222"/>
          <w:sz w:val="16"/>
          <w:szCs w:val="16"/>
        </w:rPr>
        <w:t xml:space="preserve">│   (SpCas9 nuclease)    ║  ~9.2 kb  ║         (sgRNA expression)      │</w:t>
      </w:r>
    </w:p>
    <w:p>
      <w:pPr>
        <w:spacing w:after="0" w:before="0"/>
        <w:jc w:val="center"/>
      </w:pPr>
      <w:r>
        <w:rPr>
          <w:rFonts w:ascii="Courier New" w:cs="Courier New" w:eastAsia="Courier New" w:hAnsi="Courier New"/>
          <w:color w:val="222222"/>
          <w:sz w:val="16"/>
          <w:szCs w:val="16"/>
        </w:rPr>
        <w:t xml:space="preserve">│                        ╣           ╠                                 │</w:t>
      </w:r>
    </w:p>
    <w:p>
      <w:pPr>
        <w:spacing w:after="0" w:before="0"/>
        <w:jc w:val="center"/>
      </w:pPr>
      <w:r>
        <w:rPr>
          <w:rFonts w:ascii="Courier New" w:cs="Courier New" w:eastAsia="Courier New" w:hAnsi="Courier New"/>
          <w:color w:val="222222"/>
          <w:sz w:val="16"/>
          <w:szCs w:val="16"/>
        </w:rPr>
        <w:t xml:space="preserve">│   2A-Puro ─────────── ╣           ╠ ─────── BbsI Cloning Site        │</w:t>
      </w:r>
    </w:p>
    <w:p>
      <w:pPr>
        <w:spacing w:after="0" w:before="0"/>
        <w:jc w:val="center"/>
      </w:pPr>
      <w:r>
        <w:rPr>
          <w:rFonts w:ascii="Courier New" w:cs="Courier New" w:eastAsia="Courier New" w:hAnsi="Courier New"/>
          <w:color w:val="222222"/>
          <w:sz w:val="16"/>
          <w:szCs w:val="16"/>
        </w:rPr>
        <w:t xml:space="preserve">│   (Mammalian sel.)     ║           ║         ◀── sgRNA Insert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sgRNA Insert:  5'-CACCGACCTGTTACGAGTACCTGA-3' (Fwd)                │</w:t>
      </w:r>
    </w:p>
    <w:p>
      <w:pPr>
        <w:spacing w:after="0" w:before="0"/>
        <w:jc w:val="center"/>
      </w:pPr>
      <w:r>
        <w:rPr>
          <w:rFonts w:ascii="Courier New" w:cs="Courier New" w:eastAsia="Courier New" w:hAnsi="Courier New"/>
          <w:color w:val="222222"/>
          <w:sz w:val="16"/>
          <w:szCs w:val="16"/>
        </w:rPr>
        <w:t xml:space="preserve">│                  3'-AAACTCAGGTACTCGTAACAGGTC-5' (Rev)                │</w:t>
      </w:r>
    </w:p>
    <w:p>
      <w:pPr>
        <w:spacing w:after="0" w:before="0"/>
        <w:jc w:val="center"/>
      </w:pPr>
      <w:r>
        <w:rPr>
          <w:rFonts w:ascii="Courier New" w:cs="Courier New" w:eastAsia="Courier New" w:hAnsi="Courier New"/>
          <w:color w:val="222222"/>
          <w:sz w:val="16"/>
          <w:szCs w:val="16"/>
        </w:rPr>
        <w:t xml:space="preserve">│                                                                      │</w:t>
      </w:r>
    </w:p>
    <w:p>
      <w:pPr>
        <w:spacing w:after="40" w:before="0"/>
        <w:jc w:val="center"/>
      </w:pPr>
      <w:r>
        <w:rPr>
          <w:rFonts w:ascii="Courier New" w:cs="Courier New" w:eastAsia="Courier New" w:hAnsi="Courier New"/>
          <w:color w:val="2E75B6"/>
          <w:sz w:val="16"/>
          <w:szCs w:val="16"/>
        </w:rPr>
        <w:t xml:space="preserve">└──────────────────────────────────────────────────────────────────────┘</w:t>
      </w:r>
    </w:p>
    <w:p>
      <w:pPr>
        <w:spacing w:after="120" w:before="40"/>
        <w:jc w:val="center"/>
      </w:pPr>
      <w:r>
        <w:rPr>
          <w:rFonts w:ascii="Times New Roman" w:cs="Times New Roman" w:eastAsia="Times New Roman" w:hAnsi="Times New Roman"/>
          <w:i/>
          <w:iCs/>
          <w:color w:val="555555"/>
          <w:sz w:val="18"/>
          <w:szCs w:val="18"/>
        </w:rPr>
        <w:t xml:space="preserve">Fig. 2. Annotated map of the PX459 (pSpCas9(BB)-2A-Puro) expression vector. Key elements include the U6 promoter driving sgRNA expression, the CMV promoter driving Cas9, BbsI restriction sites for sgRNA insertion, and dual selection markers (ampicillin/puromycin).</w:t>
      </w:r>
    </w:p>
    <w:p>
      <w:pPr>
        <w:spacing w:after="0" w:before="60"/>
        <w:jc w:val="center"/>
      </w:pPr>
      <w:r>
        <w:rPr>
          <w:rFonts w:ascii="Courier New" w:cs="Courier New" w:eastAsia="Courier New" w:hAnsi="Courier New"/>
          <w:color w:val="2E75B6"/>
          <w:sz w:val="16"/>
          <w:szCs w:val="16"/>
        </w:rPr>
        <w:t xml:space="preserve">┌──────────────────────────────────────────────────────────────────────┐</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   ┌─────────────┐   ┌─────────────┐                 │</w:t>
      </w:r>
    </w:p>
    <w:p>
      <w:pPr>
        <w:spacing w:after="0" w:before="0"/>
        <w:jc w:val="center"/>
      </w:pPr>
      <w:r>
        <w:rPr>
          <w:rFonts w:ascii="Courier New" w:cs="Courier New" w:eastAsia="Courier New" w:hAnsi="Courier New"/>
          <w:color w:val="222222"/>
          <w:sz w:val="16"/>
          <w:szCs w:val="16"/>
        </w:rPr>
        <w:t xml:space="preserve">│  │ 1. sgRNA    │   │ 2. Oligo    │   │ 3. BbsI     │                 │</w:t>
      </w:r>
    </w:p>
    <w:p>
      <w:pPr>
        <w:spacing w:after="0" w:before="0"/>
        <w:jc w:val="center"/>
      </w:pPr>
      <w:r>
        <w:rPr>
          <w:rFonts w:ascii="Courier New" w:cs="Courier New" w:eastAsia="Courier New" w:hAnsi="Courier New"/>
          <w:color w:val="222222"/>
          <w:sz w:val="16"/>
          <w:szCs w:val="16"/>
        </w:rPr>
        <w:t xml:space="preserve">│  │ Design      │──▶│ Synthesis   │──▶│ Digestion   │                 │</w:t>
      </w:r>
    </w:p>
    <w:p>
      <w:pPr>
        <w:spacing w:after="0" w:before="0"/>
        <w:jc w:val="center"/>
      </w:pPr>
      <w:r>
        <w:rPr>
          <w:rFonts w:ascii="Courier New" w:cs="Courier New" w:eastAsia="Courier New" w:hAnsi="Courier New"/>
          <w:color w:val="222222"/>
          <w:sz w:val="16"/>
          <w:szCs w:val="16"/>
        </w:rPr>
        <w:t xml:space="preserve">│  │ (Benchling) │   │ &amp; Annealing │   │ of PX459    │                 │</w:t>
      </w:r>
    </w:p>
    <w:p>
      <w:pPr>
        <w:spacing w:after="0" w:before="0"/>
        <w:jc w:val="center"/>
      </w:pPr>
      <w:r>
        <w:rPr>
          <w:rFonts w:ascii="Courier New" w:cs="Courier New" w:eastAsia="Courier New" w:hAnsi="Courier New"/>
          <w:color w:val="222222"/>
          <w:sz w:val="16"/>
          <w:szCs w:val="16"/>
        </w:rPr>
        <w:t xml:space="preserve">│  └─────────────┘   └─────────────┘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   ┌──────▼──────┐                 │</w:t>
      </w:r>
    </w:p>
    <w:p>
      <w:pPr>
        <w:spacing w:after="0" w:before="0"/>
        <w:jc w:val="center"/>
      </w:pPr>
      <w:r>
        <w:rPr>
          <w:rFonts w:ascii="Courier New" w:cs="Courier New" w:eastAsia="Courier New" w:hAnsi="Courier New"/>
          <w:color w:val="222222"/>
          <w:sz w:val="16"/>
          <w:szCs w:val="16"/>
        </w:rPr>
        <w:t xml:space="preserve">│  │ 6. Plasmid  │   │ 5. Colony   │   │ 4. Ligation │                 │</w:t>
      </w:r>
    </w:p>
    <w:p>
      <w:pPr>
        <w:spacing w:after="0" w:before="0"/>
        <w:jc w:val="center"/>
      </w:pPr>
      <w:r>
        <w:rPr>
          <w:rFonts w:ascii="Courier New" w:cs="Courier New" w:eastAsia="Courier New" w:hAnsi="Courier New"/>
          <w:color w:val="222222"/>
          <w:sz w:val="16"/>
          <w:szCs w:val="16"/>
        </w:rPr>
        <w:t xml:space="preserve">│  │ Extraction  │◀──│ PCR Screen  │◀──│ sgRNA→Vec   │                 │</w:t>
      </w:r>
    </w:p>
    <w:p>
      <w:pPr>
        <w:spacing w:after="0" w:before="0"/>
        <w:jc w:val="center"/>
      </w:pPr>
      <w:r>
        <w:rPr>
          <w:rFonts w:ascii="Courier New" w:cs="Courier New" w:eastAsia="Courier New" w:hAnsi="Courier New"/>
          <w:color w:val="222222"/>
          <w:sz w:val="16"/>
          <w:szCs w:val="16"/>
        </w:rPr>
        <w:t xml:space="preserve">│  │ (Miniprep)  │   │ (~400 bp)   │   │ (T4 Ligase) │                 │</w:t>
      </w:r>
    </w:p>
    <w:p>
      <w:pPr>
        <w:spacing w:after="0" w:before="0"/>
        <w:jc w:val="center"/>
      </w:pPr>
      <w:r>
        <w:rPr>
          <w:rFonts w:ascii="Courier New" w:cs="Courier New" w:eastAsia="Courier New" w:hAnsi="Courier New"/>
          <w:color w:val="222222"/>
          <w:sz w:val="16"/>
          <w:szCs w:val="16"/>
        </w:rPr>
        <w:t xml:space="preserve">│  └──────┬──────┘   └─────────────┘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   ┌─────────────┐                 │</w:t>
      </w:r>
    </w:p>
    <w:p>
      <w:pPr>
        <w:spacing w:after="0" w:before="0"/>
        <w:jc w:val="center"/>
      </w:pPr>
      <w:r>
        <w:rPr>
          <w:rFonts w:ascii="Courier New" w:cs="Courier New" w:eastAsia="Courier New" w:hAnsi="Courier New"/>
          <w:color w:val="222222"/>
          <w:sz w:val="16"/>
          <w:szCs w:val="16"/>
        </w:rPr>
        <w:t xml:space="preserve">│  │ 7. DNA Quant│   │ 8. Sanger   │   │ 9. READY    │                 │</w:t>
      </w:r>
    </w:p>
    <w:p>
      <w:pPr>
        <w:spacing w:after="0" w:before="0"/>
        <w:jc w:val="center"/>
      </w:pPr>
      <w:r>
        <w:rPr>
          <w:rFonts w:ascii="Courier New" w:cs="Courier New" w:eastAsia="Courier New" w:hAnsi="Courier New"/>
          <w:color w:val="222222"/>
          <w:sz w:val="16"/>
          <w:szCs w:val="16"/>
        </w:rPr>
        <w:t xml:space="preserve">│  │ (BioDrop    │──▶│ Sequencing  │──▶│ Functional  │                 │</w:t>
      </w:r>
    </w:p>
    <w:p>
      <w:pPr>
        <w:spacing w:after="0" w:before="0"/>
        <w:jc w:val="center"/>
      </w:pPr>
      <w:r>
        <w:rPr>
          <w:rFonts w:ascii="Courier New" w:cs="Courier New" w:eastAsia="Courier New" w:hAnsi="Courier New"/>
          <w:color w:val="222222"/>
          <w:sz w:val="16"/>
          <w:szCs w:val="16"/>
        </w:rPr>
        <w:t xml:space="preserve">│  │ A260/A280)  │   │ Validation  │   │ Knockout    │                 │</w:t>
      </w:r>
    </w:p>
    <w:p>
      <w:pPr>
        <w:spacing w:after="0" w:before="0"/>
        <w:jc w:val="center"/>
      </w:pPr>
      <w:r>
        <w:rPr>
          <w:rFonts w:ascii="Courier New" w:cs="Courier New" w:eastAsia="Courier New" w:hAnsi="Courier New"/>
          <w:color w:val="222222"/>
          <w:sz w:val="16"/>
          <w:szCs w:val="16"/>
        </w:rPr>
        <w:t xml:space="preserve">│  └─────────────┘   └─────────────┘   └─────────────┘                 │</w:t>
      </w:r>
    </w:p>
    <w:p>
      <w:pPr>
        <w:spacing w:after="0" w:before="0"/>
        <w:jc w:val="center"/>
      </w:pPr>
      <w:r>
        <w:rPr>
          <w:rFonts w:ascii="Courier New" w:cs="Courier New" w:eastAsia="Courier New" w:hAnsi="Courier New"/>
          <w:color w:val="222222"/>
          <w:sz w:val="16"/>
          <w:szCs w:val="16"/>
        </w:rPr>
        <w:t xml:space="preserve">│                                                                      │</w:t>
      </w:r>
    </w:p>
    <w:p>
      <w:pPr>
        <w:spacing w:after="40" w:before="0"/>
        <w:jc w:val="center"/>
      </w:pPr>
      <w:r>
        <w:rPr>
          <w:rFonts w:ascii="Courier New" w:cs="Courier New" w:eastAsia="Courier New" w:hAnsi="Courier New"/>
          <w:color w:val="2E75B6"/>
          <w:sz w:val="16"/>
          <w:szCs w:val="16"/>
        </w:rPr>
        <w:t xml:space="preserve">└──────────────────────────────────────────────────────────────────────┘</w:t>
      </w:r>
    </w:p>
    <w:p>
      <w:pPr>
        <w:spacing w:after="120" w:before="40"/>
        <w:jc w:val="center"/>
      </w:pPr>
      <w:r>
        <w:rPr>
          <w:rFonts w:ascii="Times New Roman" w:cs="Times New Roman" w:eastAsia="Times New Roman" w:hAnsi="Times New Roman"/>
          <w:i/>
          <w:iCs/>
          <w:color w:val="555555"/>
          <w:sz w:val="18"/>
          <w:szCs w:val="18"/>
        </w:rPr>
        <w:t xml:space="preserve">Fig. 3. Step-by-step experimental pipeline for CRISPR-Cas9 construct assembly targeting TSG101. The workflow proceeds from computational sgRNA design through molecular cloning, bacterial transformation, colony screening, DNA extraction, and Sanger sequencing validation.</w:t>
      </w:r>
    </w:p>
    <w:p>
      <w:pPr>
        <w:spacing w:after="60" w:before="160"/>
      </w:pPr>
      <w:r>
        <w:rPr>
          <w:rFonts w:ascii="Arial" w:cs="Arial" w:eastAsia="Arial" w:hAnsi="Arial"/>
          <w:b/>
          <w:bCs/>
          <w:i/>
          <w:iCs/>
          <w:color w:val="1F4E79"/>
          <w:sz w:val="20"/>
          <w:szCs w:val="20"/>
        </w:rPr>
        <w:t xml:space="preserve">B. Restriction Digestion and Plasmid Linearisation</w:t>
      </w:r>
    </w:p>
    <w:p>
      <w:pPr>
        <w:spacing w:after="80" w:before="0" w:line="276"/>
        <w:ind w:firstLine="440"/>
        <w:jc w:val="both"/>
      </w:pPr>
      <w:r>
        <w:rPr>
          <w:rFonts w:ascii="Times New Roman" w:cs="Times New Roman" w:eastAsia="Times New Roman" w:hAnsi="Times New Roman"/>
          <w:color w:val="222222"/>
          <w:sz w:val="20"/>
          <w:szCs w:val="20"/>
        </w:rPr>
        <w:t xml:space="preserve">BbsI digestion of the PX459 plasmid yielded a predominant linear band at ~9.2 kb as confirmed by agarose gel electrophoresis (Fig. 4, Panel A). The undigested plasmid control displayed the characteristic triplet pattern of covalently closed circular (supercoiled, CCC; apparent ~6–7 kb), nicked open-circular (OC; apparent ~10–12 kb), and trace linear forms—consistent with the known 9,174 bp PX459 sequence. Following BbsI digestion, the gel showed a single predominant band at the expected linear size with no residual circular forms, demonstrating complete and efficient restriction digestion. Fragment size estimation was validated against a 1 kb DNA ladder.</w:t>
      </w:r>
    </w:p>
    <w:p>
      <w:pPr>
        <w:spacing w:after="60" w:before="160"/>
      </w:pPr>
      <w:r>
        <w:rPr>
          <w:rFonts w:ascii="Arial" w:cs="Arial" w:eastAsia="Arial" w:hAnsi="Arial"/>
          <w:b/>
          <w:bCs/>
          <w:i/>
          <w:iCs/>
          <w:color w:val="1F4E79"/>
          <w:sz w:val="20"/>
          <w:szCs w:val="20"/>
        </w:rPr>
        <w:t xml:space="preserve">C. Bacterial Transformation and Colony Counts</w:t>
      </w:r>
    </w:p>
    <w:p>
      <w:pPr>
        <w:spacing w:after="80" w:before="0" w:line="276"/>
        <w:ind w:firstLine="440"/>
        <w:jc w:val="both"/>
      </w:pPr>
      <w:r>
        <w:rPr>
          <w:rFonts w:ascii="Times New Roman" w:cs="Times New Roman" w:eastAsia="Times New Roman" w:hAnsi="Times New Roman"/>
          <w:color w:val="222222"/>
          <w:sz w:val="20"/>
          <w:szCs w:val="20"/>
        </w:rPr>
        <w:t xml:space="preserve">Heat-shock transformation of the ligation product into DH5α yielded 45 colonies (100 µL plated) and 82 colonies (200 µL plated), corresponding to transformation efficiencies of approximately 4.1–4.5 × 10⁴ CFU/µg DNA. The negative control plates (vector only, no insert) yielded fewer than 3 colonies, confirming that colony growth was not attributable to undigested or self-ligated background. Table III summarises colony count data.</w:t>
      </w:r>
    </w:p>
    <w:p>
      <w:pPr>
        <w:spacing w:after="100" w:before="0" w:line="276"/>
        <w:jc w:val="both"/>
      </w:pPr>
    </w:p>
    <w:p>
      <w:pPr>
        <w:spacing w:after="60" w:before="160"/>
        <w:jc w:val="center"/>
      </w:pPr>
      <w:r>
        <w:rPr>
          <w:rFonts w:ascii="Arial" w:cs="Arial" w:eastAsia="Arial" w:hAnsi="Arial"/>
          <w:b/>
          <w:bCs/>
          <w:color w:val="1F4E79"/>
          <w:sz w:val="19"/>
          <w:szCs w:val="19"/>
        </w:rPr>
        <w:t xml:space="preserve">TABLE II. Miniprep DNA Quantification and Spectrophotometric Purity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800"/>
        <w:gridCol w:w="2160"/>
      </w:tblGrid>
      <w:tr>
        <w:tc>
          <w:tcPr>
            <w:tcW w:type="dxa" w:w="16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Sample ID</w:t>
            </w:r>
          </w:p>
        </w:tc>
        <w:tc>
          <w:tcPr>
            <w:tcW w:type="dxa" w:w="20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A260 (Abs)</w:t>
            </w:r>
          </w:p>
        </w:tc>
        <w:tc>
          <w:tcPr>
            <w:tcW w:type="dxa" w:w="18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A280 (Abs)</w:t>
            </w:r>
          </w:p>
        </w:tc>
        <w:tc>
          <w:tcPr>
            <w:tcW w:type="dxa" w:w="18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Conc. (µg/mL)</w:t>
            </w:r>
          </w:p>
        </w:tc>
        <w:tc>
          <w:tcPr>
            <w:tcW w:type="dxa" w:w="216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A260/A280 Ratio</w:t>
            </w:r>
          </w:p>
        </w:tc>
      </w:tr>
      <w:tr>
        <w:tc>
          <w:tcPr>
            <w:tcW w:type="dxa" w:w="1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Sample 4</w:t>
            </w:r>
          </w:p>
        </w:tc>
        <w:tc>
          <w:tcPr>
            <w:tcW w:type="dxa" w:w="20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0.203</w:t>
            </w:r>
          </w:p>
        </w:tc>
        <w:tc>
          <w:tcPr>
            <w:tcW w:type="dxa" w:w="18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0.111</w:t>
            </w:r>
          </w:p>
        </w:tc>
        <w:tc>
          <w:tcPr>
            <w:tcW w:type="dxa" w:w="18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199.3</w:t>
            </w:r>
          </w:p>
        </w:tc>
        <w:tc>
          <w:tcPr>
            <w:tcW w:type="dxa" w:w="21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1.857</w:t>
            </w:r>
          </w:p>
        </w:tc>
      </w:tr>
      <w:tr>
        <w:tc>
          <w:tcPr>
            <w:tcW w:type="dxa" w:w="16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Sample 5</w:t>
            </w:r>
          </w:p>
        </w:tc>
        <w:tc>
          <w:tcPr>
            <w:tcW w:type="dxa" w:w="20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0.129</w:t>
            </w:r>
          </w:p>
        </w:tc>
        <w:tc>
          <w:tcPr>
            <w:tcW w:type="dxa" w:w="18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0.077</w:t>
            </w:r>
          </w:p>
        </w:tc>
        <w:tc>
          <w:tcPr>
            <w:tcW w:type="dxa" w:w="18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113.1</w:t>
            </w:r>
          </w:p>
        </w:tc>
        <w:tc>
          <w:tcPr>
            <w:tcW w:type="dxa" w:w="21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1.851</w:t>
            </w:r>
          </w:p>
        </w:tc>
      </w:tr>
      <w:tr>
        <w:tc>
          <w:tcPr>
            <w:tcW w:type="dxa" w:w="1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Sample 1</w:t>
            </w:r>
          </w:p>
        </w:tc>
        <w:tc>
          <w:tcPr>
            <w:tcW w:type="dxa" w:w="20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0.059</w:t>
            </w:r>
          </w:p>
        </w:tc>
        <w:tc>
          <w:tcPr>
            <w:tcW w:type="dxa" w:w="18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0.021</w:t>
            </w:r>
          </w:p>
        </w:tc>
        <w:tc>
          <w:tcPr>
            <w:tcW w:type="dxa" w:w="18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80.38</w:t>
            </w:r>
          </w:p>
        </w:tc>
        <w:tc>
          <w:tcPr>
            <w:tcW w:type="dxa" w:w="21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1.987</w:t>
            </w:r>
          </w:p>
        </w:tc>
      </w:tr>
    </w:tbl>
    <w:p>
      <w:pPr>
        <w:spacing w:after="120" w:before="40"/>
        <w:jc w:val="center"/>
      </w:pPr>
      <w:r>
        <w:rPr>
          <w:rFonts w:ascii="Times New Roman" w:cs="Times New Roman" w:eastAsia="Times New Roman" w:hAnsi="Times New Roman"/>
          <w:i/>
          <w:iCs/>
          <w:color w:val="555555"/>
          <w:sz w:val="18"/>
          <w:szCs w:val="18"/>
        </w:rPr>
        <w:t xml:space="preserve">All three samples met pharmaceutical-grade purity criteria. A260/A280 ratios of 1.85–1.99 indicate negligible protein contamination; A260/A230 ratios &gt;2.0 indicate absence of phenol/ethanol carryover.</w:t>
      </w:r>
    </w:p>
    <w:p>
      <w:pPr>
        <w:spacing w:after="100" w:before="0" w:line="276"/>
        <w:jc w:val="both"/>
      </w:pPr>
    </w:p>
    <w:p>
      <w:pPr>
        <w:spacing w:after="60" w:before="160"/>
        <w:jc w:val="center"/>
      </w:pPr>
      <w:r>
        <w:rPr>
          <w:rFonts w:ascii="Arial" w:cs="Arial" w:eastAsia="Arial" w:hAnsi="Arial"/>
          <w:b/>
          <w:bCs/>
          <w:color w:val="1F4E79"/>
          <w:sz w:val="19"/>
          <w:szCs w:val="19"/>
        </w:rPr>
        <w:t xml:space="preserve">TABLE III. Bacterial Transformation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Plate</w:t>
            </w:r>
          </w:p>
        </w:tc>
        <w:tc>
          <w:tcPr>
            <w:tcW w:type="dxa" w:w="20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Volume Plated (µL)</w:t>
            </w:r>
          </w:p>
        </w:tc>
        <w:tc>
          <w:tcPr>
            <w:tcW w:type="dxa" w:w="20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Colony Count</w:t>
            </w:r>
          </w:p>
        </w:tc>
        <w:tc>
          <w:tcPr>
            <w:tcW w:type="dxa" w:w="336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Est. Efficiency (CFU/µg)</w:t>
            </w:r>
          </w:p>
        </w:tc>
      </w:tr>
      <w:tr>
        <w:tc>
          <w:tcPr>
            <w:tcW w:type="dxa" w:w="20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Plate 1</w:t>
            </w:r>
          </w:p>
        </w:tc>
        <w:tc>
          <w:tcPr>
            <w:tcW w:type="dxa" w:w="20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100</w:t>
            </w:r>
          </w:p>
        </w:tc>
        <w:tc>
          <w:tcPr>
            <w:tcW w:type="dxa" w:w="20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45</w:t>
            </w:r>
          </w:p>
        </w:tc>
        <w:tc>
          <w:tcPr>
            <w:tcW w:type="dxa" w:w="33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~4.5 × 10⁴</w:t>
            </w:r>
          </w:p>
        </w:tc>
      </w:tr>
      <w:tr>
        <w:tc>
          <w:tcPr>
            <w:tcW w:type="dxa" w:w="20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Plate 2</w:t>
            </w:r>
          </w:p>
        </w:tc>
        <w:tc>
          <w:tcPr>
            <w:tcW w:type="dxa" w:w="20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200</w:t>
            </w:r>
          </w:p>
        </w:tc>
        <w:tc>
          <w:tcPr>
            <w:tcW w:type="dxa" w:w="20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82</w:t>
            </w:r>
          </w:p>
        </w:tc>
        <w:tc>
          <w:tcPr>
            <w:tcW w:type="dxa" w:w="33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center"/>
            </w:pPr>
            <w:r>
              <w:rPr>
                <w:rFonts w:ascii="Times New Roman" w:cs="Times New Roman" w:eastAsia="Times New Roman" w:hAnsi="Times New Roman"/>
                <w:b w:val="false"/>
                <w:bCs w:val="false"/>
                <w:color w:val="222222"/>
                <w:sz w:val="18"/>
                <w:szCs w:val="18"/>
              </w:rPr>
              <w:t xml:space="preserve">~4.1 × 10⁴</w:t>
            </w:r>
          </w:p>
        </w:tc>
      </w:tr>
    </w:tbl>
    <w:p>
      <w:pPr>
        <w:spacing w:after="120" w:before="40"/>
        <w:jc w:val="center"/>
      </w:pPr>
      <w:r>
        <w:rPr>
          <w:rFonts w:ascii="Times New Roman" w:cs="Times New Roman" w:eastAsia="Times New Roman" w:hAnsi="Times New Roman"/>
          <w:i/>
          <w:iCs/>
          <w:color w:val="555555"/>
          <w:sz w:val="18"/>
          <w:szCs w:val="18"/>
        </w:rPr>
        <w:t xml:space="preserve">Colony counts on ampicillin-selective plates following heat-shock transformation. Negative control (&lt;3 colonies) confirmed selective growth was not due to background.</w:t>
      </w:r>
    </w:p>
    <w:p>
      <w:pPr>
        <w:spacing w:after="100" w:before="0" w:line="276"/>
        <w:jc w:val="both"/>
      </w:pPr>
    </w:p>
    <w:p>
      <w:pPr>
        <w:spacing w:after="60" w:before="160"/>
      </w:pPr>
      <w:r>
        <w:rPr>
          <w:rFonts w:ascii="Arial" w:cs="Arial" w:eastAsia="Arial" w:hAnsi="Arial"/>
          <w:b/>
          <w:bCs/>
          <w:i/>
          <w:iCs/>
          <w:color w:val="1F4E79"/>
          <w:sz w:val="20"/>
          <w:szCs w:val="20"/>
        </w:rPr>
        <w:t xml:space="preserve">D. Colony PCR Screening and Gel Electrophoresis</w:t>
      </w:r>
    </w:p>
    <w:p>
      <w:pPr>
        <w:spacing w:after="80" w:before="0" w:line="276"/>
        <w:ind w:firstLine="440"/>
        <w:jc w:val="both"/>
      </w:pPr>
      <w:r>
        <w:rPr>
          <w:rFonts w:ascii="Times New Roman" w:cs="Times New Roman" w:eastAsia="Times New Roman" w:hAnsi="Times New Roman"/>
          <w:color w:val="222222"/>
          <w:sz w:val="20"/>
          <w:szCs w:val="20"/>
        </w:rPr>
        <w:t xml:space="preserve">Colony PCR using U6 and scaffold-specific primers amplified a product of ~400 bp from all three selected positive colonies (Colony 1, 2, and 3), consistent with the predicted amplicon size spanning the sgRNA insert region (Fig. 4, Panel B). The negative control lane was devoid of bands, confirming the absence of PCR contamination. Additional screening across replicate colony groups (groups 2.1, 2.2, and 2.4) consistently yielded ~400 bp amplicons, demonstrating reproducibility of the cloning outcome across independent transformation events. No non-specific amplification products were observed.</w:t>
      </w:r>
    </w:p>
    <w:p>
      <w:pPr>
        <w:spacing w:after="100" w:before="0" w:line="276"/>
        <w:jc w:val="both"/>
      </w:pPr>
    </w:p>
    <w:p>
      <w:pPr>
        <w:spacing w:after="0" w:before="60"/>
        <w:jc w:val="center"/>
      </w:pPr>
      <w:r>
        <w:rPr>
          <w:rFonts w:ascii="Courier New" w:cs="Courier New" w:eastAsia="Courier New" w:hAnsi="Courier New"/>
          <w:color w:val="2E75B6"/>
          <w:sz w:val="16"/>
          <w:szCs w:val="16"/>
        </w:rPr>
        <w:t xml:space="preserve">┌──────────────────────────────────────────────────────────────────────┐</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Agarose Gel Electrophoresis Results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Panel A: PX459 Restriction Digest         Panel B: Colony PCR       │</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Ladder  Undig. BbsI-Dig.        Ladder  Ctrl  Col1  Col2  Col3      │</w:t>
      </w:r>
    </w:p>
    <w:p>
      <w:pPr>
        <w:spacing w:after="0" w:before="0"/>
        <w:jc w:val="center"/>
      </w:pPr>
      <w:r>
        <w:rPr>
          <w:rFonts w:ascii="Courier New" w:cs="Courier New" w:eastAsia="Courier New" w:hAnsi="Courier New"/>
          <w:color w:val="222222"/>
          <w:sz w:val="16"/>
          <w:szCs w:val="16"/>
        </w:rPr>
        <w:t xml:space="preserve">│    │        │      │               │       │     │     │     │       │</w:t>
      </w:r>
    </w:p>
    <w:p>
      <w:pPr>
        <w:spacing w:after="0" w:before="0"/>
        <w:jc w:val="center"/>
      </w:pPr>
      <w:r>
        <w:rPr>
          <w:rFonts w:ascii="Courier New" w:cs="Courier New" w:eastAsia="Courier New" w:hAnsi="Courier New"/>
          <w:color w:val="222222"/>
          <w:sz w:val="16"/>
          <w:szCs w:val="16"/>
        </w:rPr>
        <w:t xml:space="preserve">│   10kb──    │      │              500bp──  │     │     │     │       │</w:t>
      </w:r>
    </w:p>
    <w:p>
      <w:pPr>
        <w:spacing w:after="0" w:before="0"/>
        <w:jc w:val="center"/>
      </w:pPr>
      <w:r>
        <w:rPr>
          <w:rFonts w:ascii="Courier New" w:cs="Courier New" w:eastAsia="Courier New" w:hAnsi="Courier New"/>
          <w:color w:val="222222"/>
          <w:sz w:val="16"/>
          <w:szCs w:val="16"/>
        </w:rPr>
        <w:t xml:space="preserve">│    8kb──    │      │              400bp──  │     │   ████  ████  ████│</w:t>
      </w:r>
    </w:p>
    <w:p>
      <w:pPr>
        <w:spacing w:after="0" w:before="0"/>
        <w:jc w:val="center"/>
      </w:pPr>
      <w:r>
        <w:rPr>
          <w:rFonts w:ascii="Courier New" w:cs="Courier New" w:eastAsia="Courier New" w:hAnsi="Courier New"/>
          <w:color w:val="222222"/>
          <w:sz w:val="16"/>
          <w:szCs w:val="16"/>
        </w:rPr>
        <w:t xml:space="preserve">│    6kb──  ████    │              300bp──  │     │     │     │     │  │</w:t>
      </w:r>
    </w:p>
    <w:p>
      <w:pPr>
        <w:spacing w:after="0" w:before="0"/>
        <w:jc w:val="center"/>
      </w:pPr>
      <w:r>
        <w:rPr>
          <w:rFonts w:ascii="Courier New" w:cs="Courier New" w:eastAsia="Courier New" w:hAnsi="Courier New"/>
          <w:color w:val="222222"/>
          <w:sz w:val="16"/>
          <w:szCs w:val="16"/>
        </w:rPr>
        <w:t xml:space="preserve">│    4kb──    │    ████            200bp──  │     │     │     │     │  │</w:t>
      </w:r>
    </w:p>
    <w:p>
      <w:pPr>
        <w:spacing w:after="0" w:before="0"/>
        <w:jc w:val="center"/>
      </w:pPr>
      <w:r>
        <w:rPr>
          <w:rFonts w:ascii="Courier New" w:cs="Courier New" w:eastAsia="Courier New" w:hAnsi="Courier New"/>
          <w:color w:val="222222"/>
          <w:sz w:val="16"/>
          <w:szCs w:val="16"/>
        </w:rPr>
        <w:t xml:space="preserve">│    2kb──    │      │                      │     │     │     │     │  │</w:t>
      </w:r>
    </w:p>
    <w:p>
      <w:pPr>
        <w:spacing w:after="0" w:before="0"/>
        <w:jc w:val="center"/>
      </w:pPr>
      <w:r>
        <w:rPr>
          <w:rFonts w:ascii="Courier New" w:cs="Courier New" w:eastAsia="Courier New" w:hAnsi="Courier New"/>
          <w:color w:val="222222"/>
          <w:sz w:val="16"/>
          <w:szCs w:val="16"/>
        </w:rPr>
        <w:t xml:space="preserve">│             │      │                                                 │</w:t>
      </w:r>
    </w:p>
    <w:p>
      <w:pPr>
        <w:spacing w:after="0" w:before="0"/>
        <w:jc w:val="center"/>
      </w:pPr>
      <w:r>
        <w:rPr>
          <w:rFonts w:ascii="Courier New" w:cs="Courier New" w:eastAsia="Courier New" w:hAnsi="Courier New"/>
          <w:color w:val="222222"/>
          <w:sz w:val="16"/>
          <w:szCs w:val="16"/>
        </w:rPr>
        <w:t xml:space="preserve">│          (SC+OC) (Linear          (neg.  (pos. bands ~400 bp)        │</w:t>
      </w:r>
    </w:p>
    <w:p>
      <w:pPr>
        <w:spacing w:after="0" w:before="0"/>
        <w:jc w:val="center"/>
      </w:pPr>
      <w:r>
        <w:rPr>
          <w:rFonts w:ascii="Courier New" w:cs="Courier New" w:eastAsia="Courier New" w:hAnsi="Courier New"/>
          <w:color w:val="222222"/>
          <w:sz w:val="16"/>
          <w:szCs w:val="16"/>
        </w:rPr>
        <w:t xml:space="preserve">│          forms)  ~9.2kb)          ctrl)                              │</w:t>
      </w:r>
    </w:p>
    <w:p>
      <w:pPr>
        <w:spacing w:after="0" w:before="0"/>
        <w:jc w:val="center"/>
      </w:pPr>
      <w:r>
        <w:rPr>
          <w:rFonts w:ascii="Courier New" w:cs="Courier New" w:eastAsia="Courier New" w:hAnsi="Courier New"/>
          <w:color w:val="222222"/>
          <w:sz w:val="16"/>
          <w:szCs w:val="16"/>
        </w:rPr>
        <w:t xml:space="preserve">│  SC = Supercoiled  OC = Open Circular                                │</w:t>
      </w:r>
    </w:p>
    <w:p>
      <w:pPr>
        <w:spacing w:after="0" w:before="0"/>
        <w:jc w:val="center"/>
      </w:pPr>
      <w:r>
        <w:rPr>
          <w:rFonts w:ascii="Courier New" w:cs="Courier New" w:eastAsia="Courier New" w:hAnsi="Courier New"/>
          <w:color w:val="222222"/>
          <w:sz w:val="16"/>
          <w:szCs w:val="16"/>
        </w:rPr>
        <w:t xml:space="preserve">│                                                                      │</w:t>
      </w:r>
    </w:p>
    <w:p>
      <w:pPr>
        <w:spacing w:after="40" w:before="0"/>
        <w:jc w:val="center"/>
      </w:pPr>
      <w:r>
        <w:rPr>
          <w:rFonts w:ascii="Courier New" w:cs="Courier New" w:eastAsia="Courier New" w:hAnsi="Courier New"/>
          <w:color w:val="2E75B6"/>
          <w:sz w:val="16"/>
          <w:szCs w:val="16"/>
        </w:rPr>
        <w:t xml:space="preserve">└──────────────────────────────────────────────────────────────────────┘</w:t>
      </w:r>
    </w:p>
    <w:p>
      <w:pPr>
        <w:spacing w:after="120" w:before="40"/>
        <w:jc w:val="center"/>
      </w:pPr>
      <w:r>
        <w:rPr>
          <w:rFonts w:ascii="Times New Roman" w:cs="Times New Roman" w:eastAsia="Times New Roman" w:hAnsi="Times New Roman"/>
          <w:i/>
          <w:iCs/>
          <w:color w:val="555555"/>
          <w:sz w:val="18"/>
          <w:szCs w:val="18"/>
        </w:rPr>
        <w:t xml:space="preserve">Fig. 4. Agarose gel electrophoresis results. Panel A: BbsI restriction digest of PX459 showing the linearized plasmid band at ~9.2 kb (undigested shows supercoiled [SC] and open-circular [OC] conformations). Panel B: Colony PCR screening lanes showing a positive ~400 bp amplicon in all three test colonies and no band in the negative control.</w:t>
      </w:r>
    </w:p>
    <w:p>
      <w:pPr>
        <w:spacing w:after="100" w:before="0" w:line="276"/>
        <w:jc w:val="both"/>
      </w:pPr>
    </w:p>
    <w:p>
      <w:pPr>
        <w:spacing w:after="60" w:before="160"/>
        <w:jc w:val="center"/>
      </w:pPr>
      <w:r>
        <w:rPr>
          <w:rFonts w:ascii="Arial" w:cs="Arial" w:eastAsia="Arial" w:hAnsi="Arial"/>
          <w:b/>
          <w:bCs/>
          <w:color w:val="1F4E79"/>
          <w:sz w:val="19"/>
          <w:szCs w:val="19"/>
        </w:rPr>
        <w:t xml:space="preserve">TABLE IV. Gel Electrophoresis Band Size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Sample / Lane Group</w:t>
            </w:r>
          </w:p>
        </w:tc>
        <w:tc>
          <w:tcPr>
            <w:tcW w:type="dxa" w:w="24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Expected Size</w:t>
            </w:r>
          </w:p>
        </w:tc>
        <w:tc>
          <w:tcPr>
            <w:tcW w:type="dxa" w:w="216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Observed Size</w:t>
            </w:r>
          </w:p>
        </w:tc>
        <w:tc>
          <w:tcPr>
            <w:tcW w:type="dxa" w:w="24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Interpretation</w:t>
            </w:r>
          </w:p>
        </w:tc>
      </w:tr>
      <w:tr>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Undigested PX459 (SC)</w:t>
            </w:r>
          </w:p>
        </w:tc>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~6–7 kb apparent</w:t>
            </w:r>
          </w:p>
        </w:tc>
        <w:tc>
          <w:tcPr>
            <w:tcW w:type="dxa" w:w="21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~6–7 kb</w:t>
            </w:r>
          </w:p>
        </w:tc>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Supercoiled conformation</w:t>
            </w:r>
          </w:p>
        </w:tc>
      </w:tr>
      <w:tr>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Undigested PX459 (OC)</w:t>
            </w:r>
          </w:p>
        </w:tc>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~10–12 kb apparent</w:t>
            </w:r>
          </w:p>
        </w:tc>
        <w:tc>
          <w:tcPr>
            <w:tcW w:type="dxa" w:w="21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~10–12 kb</w:t>
            </w:r>
          </w:p>
        </w:tc>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Open circular / nicked</w:t>
            </w:r>
          </w:p>
        </w:tc>
      </w:tr>
      <w:tr>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BbsI-linearised PX459</w:t>
            </w:r>
          </w:p>
        </w:tc>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~9.2 kb</w:t>
            </w:r>
          </w:p>
        </w:tc>
        <w:tc>
          <w:tcPr>
            <w:tcW w:type="dxa" w:w="21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~9.2 kb</w:t>
            </w:r>
          </w:p>
        </w:tc>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Complete linearisation ✔</w:t>
            </w:r>
          </w:p>
        </w:tc>
      </w:tr>
      <w:tr>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Colony PCR amplicon</w:t>
            </w:r>
          </w:p>
        </w:tc>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~400 bp</w:t>
            </w:r>
          </w:p>
        </w:tc>
        <w:tc>
          <w:tcPr>
            <w:tcW w:type="dxa" w:w="21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~400 bp</w:t>
            </w:r>
          </w:p>
        </w:tc>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sgRNA insert confirmed ✔</w:t>
            </w:r>
          </w:p>
        </w:tc>
      </w:tr>
      <w:tr>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Cloned plasmid (miniprep)</w:t>
            </w:r>
          </w:p>
        </w:tc>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~9.2 kb</w:t>
            </w:r>
          </w:p>
        </w:tc>
        <w:tc>
          <w:tcPr>
            <w:tcW w:type="dxa" w:w="21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~9.2 kb</w:t>
            </w:r>
          </w:p>
        </w:tc>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Correct backbone size ✔</w:t>
            </w:r>
          </w:p>
        </w:tc>
      </w:tr>
    </w:tbl>
    <w:p>
      <w:pPr>
        <w:spacing w:after="120" w:before="40"/>
        <w:jc w:val="center"/>
      </w:pPr>
      <w:r>
        <w:rPr>
          <w:rFonts w:ascii="Times New Roman" w:cs="Times New Roman" w:eastAsia="Times New Roman" w:hAnsi="Times New Roman"/>
          <w:i/>
          <w:iCs/>
          <w:color w:val="555555"/>
          <w:sz w:val="18"/>
          <w:szCs w:val="18"/>
        </w:rPr>
        <w:t xml:space="preserve">Observed and expected DNA band sizes confirm plasmid linearisation and sgRNA insert amplification. All observed values are within ±5% of expected, within the measurement uncertainty of gel-based sizing.</w:t>
      </w:r>
    </w:p>
    <w:p>
      <w:pPr>
        <w:spacing w:after="100" w:before="0" w:line="276"/>
        <w:jc w:val="both"/>
      </w:pPr>
    </w:p>
    <w:p>
      <w:pPr>
        <w:spacing w:after="60" w:before="160"/>
      </w:pPr>
      <w:r>
        <w:rPr>
          <w:rFonts w:ascii="Arial" w:cs="Arial" w:eastAsia="Arial" w:hAnsi="Arial"/>
          <w:b/>
          <w:bCs/>
          <w:i/>
          <w:iCs/>
          <w:color w:val="1F4E79"/>
          <w:sz w:val="20"/>
          <w:szCs w:val="20"/>
        </w:rPr>
        <w:t xml:space="preserve">E. Plasmid Extraction and DNA Quality Metrics</w:t>
      </w:r>
    </w:p>
    <w:p>
      <w:pPr>
        <w:spacing w:after="80" w:before="0" w:line="276"/>
        <w:ind w:firstLine="440"/>
        <w:jc w:val="both"/>
      </w:pPr>
      <w:r>
        <w:rPr>
          <w:rFonts w:ascii="Times New Roman" w:cs="Times New Roman" w:eastAsia="Times New Roman" w:hAnsi="Times New Roman"/>
          <w:color w:val="222222"/>
          <w:sz w:val="20"/>
          <w:szCs w:val="20"/>
        </w:rPr>
        <w:t xml:space="preserve">Miniprep extraction from overnight cultures of three positive colonies yielded high-quality plasmid DNA with concentrations of 80.38 µg/mL (Colony/Sample 1), 113.1 µg/mL (Sample 5), and 199.3 µg/mL (Sample 4) as measured by UV spectrophotometry at 260 nm (Table II). Purity assessment demonstrated A260/A280 ratios of 1.851–1.987, all within the accepted range of 1.8–2.0 for pure double-stranded DNA, indicating negligible protein contamination. A260/A230 ratios of 2.129–2.207 exceeded the recommended threshold of &gt;2.0, confirming the absence of significant organic contaminant (phenol, ethanol, or polysaccharide) carry-through. Absorbance at 320 nm (background scatter correction) was negligible in all samples. The quantitative data are further visualised in Fig. 7.</w:t>
      </w:r>
    </w:p>
    <w:p>
      <w:pPr>
        <w:spacing w:after="100" w:before="0" w:line="276"/>
        <w:jc w:val="both"/>
      </w:pPr>
    </w:p>
    <w:p>
      <w:pPr>
        <w:spacing w:after="0" w:before="60"/>
        <w:jc w:val="center"/>
      </w:pPr>
      <w:r>
        <w:rPr>
          <w:rFonts w:ascii="Courier New" w:cs="Courier New" w:eastAsia="Courier New" w:hAnsi="Courier New"/>
          <w:color w:val="2E75B6"/>
          <w:sz w:val="16"/>
          <w:szCs w:val="16"/>
        </w:rPr>
        <w:t xml:space="preserve">┌──────────────────────────────────────────────────────────────────────┐</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DNA Concentration After Miniprep (µg/mL)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200 ┤████████████████████████████████████████  Sample 4: 199.3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150 ┤                                                               │</w:t>
      </w:r>
    </w:p>
    <w:p>
      <w:pPr>
        <w:spacing w:after="0" w:before="0"/>
        <w:jc w:val="center"/>
      </w:pPr>
      <w:r>
        <w:rPr>
          <w:rFonts w:ascii="Courier New" w:cs="Courier New" w:eastAsia="Courier New" w:hAnsi="Courier New"/>
          <w:color w:val="222222"/>
          <w:sz w:val="16"/>
          <w:szCs w:val="16"/>
        </w:rPr>
        <w:t xml:space="preserve">│      │█████████████████████████████            Sample 5: 113.1       │</w:t>
      </w:r>
    </w:p>
    <w:p>
      <w:pPr>
        <w:spacing w:after="0" w:before="0"/>
        <w:jc w:val="center"/>
      </w:pPr>
      <w:r>
        <w:rPr>
          <w:rFonts w:ascii="Courier New" w:cs="Courier New" w:eastAsia="Courier New" w:hAnsi="Courier New"/>
          <w:color w:val="222222"/>
          <w:sz w:val="16"/>
          <w:szCs w:val="16"/>
        </w:rPr>
        <w:t xml:space="preserve">│  100 ┤                                                               │</w:t>
      </w:r>
    </w:p>
    <w:p>
      <w:pPr>
        <w:spacing w:after="0" w:before="0"/>
        <w:jc w:val="center"/>
      </w:pPr>
      <w:r>
        <w:rPr>
          <w:rFonts w:ascii="Courier New" w:cs="Courier New" w:eastAsia="Courier New" w:hAnsi="Courier New"/>
          <w:color w:val="222222"/>
          <w:sz w:val="16"/>
          <w:szCs w:val="16"/>
        </w:rPr>
        <w:t xml:space="preserve">│      │████████████████████                     Sample 1:  80.4       │</w:t>
      </w:r>
    </w:p>
    <w:p>
      <w:pPr>
        <w:spacing w:after="0" w:before="0"/>
        <w:jc w:val="center"/>
      </w:pPr>
      <w:r>
        <w:rPr>
          <w:rFonts w:ascii="Courier New" w:cs="Courier New" w:eastAsia="Courier New" w:hAnsi="Courier New"/>
          <w:color w:val="222222"/>
          <w:sz w:val="16"/>
          <w:szCs w:val="16"/>
        </w:rPr>
        <w:t xml:space="preserve">│   50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0 └──────────────────────────────────────────────────────         │</w:t>
      </w:r>
    </w:p>
    <w:p>
      <w:pPr>
        <w:spacing w:after="0" w:before="0"/>
        <w:jc w:val="center"/>
      </w:pPr>
      <w:r>
        <w:rPr>
          <w:rFonts w:ascii="Courier New" w:cs="Courier New" w:eastAsia="Courier New" w:hAnsi="Courier New"/>
          <w:color w:val="222222"/>
          <w:sz w:val="16"/>
          <w:szCs w:val="16"/>
        </w:rPr>
        <w:t xml:space="preserve">│             Sample 4           Sample 5          Sample 1            │</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A260/A280 Purity:   1.857        1.851           1.987              │</w:t>
      </w:r>
    </w:p>
    <w:p>
      <w:pPr>
        <w:spacing w:after="0" w:before="0"/>
        <w:jc w:val="center"/>
      </w:pPr>
      <w:r>
        <w:rPr>
          <w:rFonts w:ascii="Courier New" w:cs="Courier New" w:eastAsia="Courier New" w:hAnsi="Courier New"/>
          <w:color w:val="222222"/>
          <w:sz w:val="16"/>
          <w:szCs w:val="16"/>
        </w:rPr>
        <w:t xml:space="preserve">│  A260/A230 Ratio:    2.207        2.163           2.129              │</w:t>
      </w:r>
    </w:p>
    <w:p>
      <w:pPr>
        <w:spacing w:after="0" w:before="0"/>
        <w:jc w:val="center"/>
      </w:pPr>
      <w:r>
        <w:rPr>
          <w:rFonts w:ascii="Courier New" w:cs="Courier New" w:eastAsia="Courier New" w:hAnsi="Courier New"/>
          <w:color w:val="222222"/>
          <w:sz w:val="16"/>
          <w:szCs w:val="16"/>
        </w:rPr>
        <w:t xml:space="preserve">│  ► All values within acceptable range (A260/A280 = 1.8–2.0)          │</w:t>
      </w:r>
    </w:p>
    <w:p>
      <w:pPr>
        <w:spacing w:after="0" w:before="0"/>
        <w:jc w:val="center"/>
      </w:pPr>
      <w:r>
        <w:rPr>
          <w:rFonts w:ascii="Courier New" w:cs="Courier New" w:eastAsia="Courier New" w:hAnsi="Courier New"/>
          <w:color w:val="222222"/>
          <w:sz w:val="16"/>
          <w:szCs w:val="16"/>
        </w:rPr>
        <w:t xml:space="preserve">│                                                                      │</w:t>
      </w:r>
    </w:p>
    <w:p>
      <w:pPr>
        <w:spacing w:after="40" w:before="0"/>
        <w:jc w:val="center"/>
      </w:pPr>
      <w:r>
        <w:rPr>
          <w:rFonts w:ascii="Courier New" w:cs="Courier New" w:eastAsia="Courier New" w:hAnsi="Courier New"/>
          <w:color w:val="2E75B6"/>
          <w:sz w:val="16"/>
          <w:szCs w:val="16"/>
        </w:rPr>
        <w:t xml:space="preserve">└──────────────────────────────────────────────────────────────────────┘</w:t>
      </w:r>
    </w:p>
    <w:p>
      <w:pPr>
        <w:spacing w:after="120" w:before="40"/>
        <w:jc w:val="center"/>
      </w:pPr>
      <w:r>
        <w:rPr>
          <w:rFonts w:ascii="Times New Roman" w:cs="Times New Roman" w:eastAsia="Times New Roman" w:hAnsi="Times New Roman"/>
          <w:i/>
          <w:iCs/>
          <w:color w:val="555555"/>
          <w:sz w:val="18"/>
          <w:szCs w:val="18"/>
        </w:rPr>
        <w:t xml:space="preserve">Fig. 7. DNA concentration (µg/mL) and spectrophotometric purity ratios for three miniprep samples. All A260/A280 ratios fall within the acceptable range of 1.8–2.0, confirming negligible protein contamination. A260/A230 ratios exceed 2.0, indicating low organic/salt contamination.</w:t>
      </w:r>
    </w:p>
    <w:p>
      <w:pPr>
        <w:spacing w:after="100" w:before="0" w:line="276"/>
        <w:jc w:val="both"/>
      </w:pPr>
    </w:p>
    <w:p>
      <w:pPr>
        <w:spacing w:after="60" w:before="160"/>
      </w:pPr>
      <w:r>
        <w:rPr>
          <w:rFonts w:ascii="Arial" w:cs="Arial" w:eastAsia="Arial" w:hAnsi="Arial"/>
          <w:b/>
          <w:bCs/>
          <w:i/>
          <w:iCs/>
          <w:color w:val="1F4E79"/>
          <w:sz w:val="20"/>
          <w:szCs w:val="20"/>
        </w:rPr>
        <w:t xml:space="preserve">F. Sanger Sequencing Validation</w:t>
      </w:r>
    </w:p>
    <w:p>
      <w:pPr>
        <w:spacing w:after="80" w:before="0" w:line="276"/>
        <w:ind w:firstLine="440"/>
        <w:jc w:val="both"/>
      </w:pPr>
      <w:r>
        <w:rPr>
          <w:rFonts w:ascii="Times New Roman" w:cs="Times New Roman" w:eastAsia="Times New Roman" w:hAnsi="Times New Roman"/>
          <w:color w:val="222222"/>
          <w:sz w:val="20"/>
          <w:szCs w:val="20"/>
        </w:rPr>
        <w:t xml:space="preserve">Sanger sequencing of purified plasmid DNA from positive colonies provided the most definitive validation of construct integrity. Two independent sequencing reads were obtained and analysed in Benchling against the reference PX459 sequence with the designed sgRNA insert.</w:t>
      </w:r>
    </w:p>
    <w:p>
      <w:pPr>
        <w:spacing w:after="80" w:before="0" w:line="276"/>
        <w:ind w:firstLine="440"/>
        <w:jc w:val="both"/>
      </w:pPr>
      <w:r>
        <w:rPr>
          <w:rFonts w:ascii="Times New Roman" w:cs="Times New Roman" w:eastAsia="Times New Roman" w:hAnsi="Times New Roman"/>
          <w:color w:val="222222"/>
          <w:sz w:val="20"/>
          <w:szCs w:val="20"/>
        </w:rPr>
        <w:t xml:space="preserve">Clone 2.19-F-120226-03-11 (short read, 20 bp sgRNA region): The sequenced guide region (GAGAAAAACCCCCGCACGCC) demonstrated 100% pairwise identity with zero mismatches, consistent with high-fidelity oligonucleotide synthesis and ligation. Chromatogram analysis revealed mean peak height of ~1000 RFU, baseline noise &lt;100 RFU (SNR ~10:1), Phred Q ≥ 30 throughout the sgRNA region, and a complete absence of ambiguous base calls, insertions, or deletions. GC content of 60% was within the empirically optimal range for CRISPR efficiency.</w:t>
      </w:r>
    </w:p>
    <w:p>
      <w:pPr>
        <w:spacing w:after="80" w:before="0" w:line="276"/>
        <w:ind w:firstLine="440"/>
        <w:jc w:val="both"/>
      </w:pPr>
      <w:r>
        <w:rPr>
          <w:rFonts w:ascii="Times New Roman" w:cs="Times New Roman" w:eastAsia="Times New Roman" w:hAnsi="Times New Roman"/>
          <w:color w:val="222222"/>
          <w:sz w:val="20"/>
          <w:szCs w:val="20"/>
        </w:rPr>
        <w:t xml:space="preserve">Clone 2.42-F-120226-03-19 (full-length, 637 bp): Extended sequencing of the full plasmid construct demonstrated 100% pairwise identity across the entire 637 bp read with zero mismatches or indels. Peak signal intensities of 700–1100 RFU and background of ~80 RFU yielded a SNR &gt;8:1. GC content across the read was 58–62%, well suited for stable DNA hybridisation in sequencing reactions. No secondary peaks, frameshifts, or off-target insertions were detected, confirming intact structural integrity of the CRISPR-Cas9 construct throughout the entire cloning and bacterial propagation process.</w:t>
      </w:r>
    </w:p>
    <w:p>
      <w:pPr>
        <w:spacing w:after="80" w:before="0" w:line="276"/>
        <w:ind w:firstLine="440"/>
        <w:jc w:val="both"/>
      </w:pPr>
      <w:r>
        <w:rPr>
          <w:rFonts w:ascii="Times New Roman" w:cs="Times New Roman" w:eastAsia="Times New Roman" w:hAnsi="Times New Roman"/>
          <w:color w:val="222222"/>
          <w:sz w:val="20"/>
          <w:szCs w:val="20"/>
        </w:rPr>
        <w:t xml:space="preserve">The observed sequence of the target spacer (5′-GACCTGTTACGAGTACCTGA-3′) matched the designed sequence with 100% identity, with correct insert orientation confirmed relative to the U6 promoter. These results are tabulated in Tables V and VI and the chromatogram is represented in Fig. 5.</w:t>
      </w:r>
    </w:p>
    <w:p>
      <w:pPr>
        <w:spacing w:after="100" w:before="0" w:line="276"/>
        <w:jc w:val="both"/>
      </w:pPr>
    </w:p>
    <w:p>
      <w:pPr>
        <w:spacing w:after="0" w:before="60"/>
        <w:jc w:val="center"/>
      </w:pPr>
      <w:r>
        <w:rPr>
          <w:rFonts w:ascii="Courier New" w:cs="Courier New" w:eastAsia="Courier New" w:hAnsi="Courier New"/>
          <w:color w:val="2E75B6"/>
          <w:sz w:val="16"/>
          <w:szCs w:val="16"/>
        </w:rPr>
        <w:t xml:space="preserve">┌──────────────────────────────────────────────────────────────────────┐</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Sanger Sequencing Chromatogram – Clone 2.19-F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Signal                                                              │</w:t>
      </w:r>
    </w:p>
    <w:p>
      <w:pPr>
        <w:spacing w:after="0" w:before="0"/>
        <w:jc w:val="center"/>
      </w:pPr>
      <w:r>
        <w:rPr>
          <w:rFonts w:ascii="Courier New" w:cs="Courier New" w:eastAsia="Courier New" w:hAnsi="Courier New"/>
          <w:color w:val="222222"/>
          <w:sz w:val="16"/>
          <w:szCs w:val="16"/>
        </w:rPr>
        <w:t xml:space="preserve">│  (RFU)   G  A  G  A  A  A  A  A  C  C  C  C  C  G  C  A  C  G  C C   │</w:t>
      </w:r>
    </w:p>
    <w:p>
      <w:pPr>
        <w:spacing w:after="0" w:before="0"/>
        <w:jc w:val="center"/>
      </w:pPr>
      <w:r>
        <w:rPr>
          <w:rFonts w:ascii="Courier New" w:cs="Courier New" w:eastAsia="Courier New" w:hAnsi="Courier New"/>
          <w:color w:val="222222"/>
          <w:sz w:val="16"/>
          <w:szCs w:val="16"/>
        </w:rPr>
        <w:t xml:space="preserve">│  1200    ▐  ▐  ▐  ▐  ▐  ▐  ▐  ▐  ▐  ▐  ▐  ▐  ▐  ▐  ▐  ▐  ▐  ▐  ▐▐    │</w:t>
      </w:r>
    </w:p>
    <w:p>
      <w:pPr>
        <w:spacing w:after="0" w:before="0"/>
        <w:jc w:val="center"/>
      </w:pPr>
      <w:r>
        <w:rPr>
          <w:rFonts w:ascii="Courier New" w:cs="Courier New" w:eastAsia="Courier New" w:hAnsi="Courier New"/>
          <w:color w:val="222222"/>
          <w:sz w:val="16"/>
          <w:szCs w:val="16"/>
        </w:rPr>
        <w:t xml:space="preserve">│  1000    █  █  █  █  █  █  █  █  █  █  █  █  █  █  █  █  █  █  ██    │</w:t>
      </w:r>
    </w:p>
    <w:p>
      <w:pPr>
        <w:spacing w:after="0" w:before="0"/>
        <w:jc w:val="center"/>
      </w:pPr>
      <w:r>
        <w:rPr>
          <w:rFonts w:ascii="Courier New" w:cs="Courier New" w:eastAsia="Courier New" w:hAnsi="Courier New"/>
          <w:color w:val="222222"/>
          <w:sz w:val="16"/>
          <w:szCs w:val="16"/>
        </w:rPr>
        <w:t xml:space="preserve">│   800    █  █  █  █  █  █  █  █  █  █  █  █  █  █  █  █  █  █  ██    │</w:t>
      </w:r>
    </w:p>
    <w:p>
      <w:pPr>
        <w:spacing w:after="0" w:before="0"/>
        <w:jc w:val="center"/>
      </w:pPr>
      <w:r>
        <w:rPr>
          <w:rFonts w:ascii="Courier New" w:cs="Courier New" w:eastAsia="Courier New" w:hAnsi="Courier New"/>
          <w:color w:val="222222"/>
          <w:sz w:val="16"/>
          <w:szCs w:val="16"/>
        </w:rPr>
        <w:t xml:space="preserve">│   600    █  █  █  █  █  █  █  █  █  █  █  █  █  █  █  █  █  █  ██    │</w:t>
      </w:r>
    </w:p>
    <w:p>
      <w:pPr>
        <w:spacing w:after="0" w:before="0"/>
        <w:jc w:val="center"/>
      </w:pPr>
      <w:r>
        <w:rPr>
          <w:rFonts w:ascii="Courier New" w:cs="Courier New" w:eastAsia="Courier New" w:hAnsi="Courier New"/>
          <w:color w:val="222222"/>
          <w:sz w:val="16"/>
          <w:szCs w:val="16"/>
        </w:rPr>
        <w:t xml:space="preserve">│   400    █  █  █  █  █  █  █  █  █  █  █  █  █  █  █  █  █  █  ██    │</w:t>
      </w:r>
    </w:p>
    <w:p>
      <w:pPr>
        <w:spacing w:after="0" w:before="0"/>
        <w:jc w:val="center"/>
      </w:pPr>
      <w:r>
        <w:rPr>
          <w:rFonts w:ascii="Courier New" w:cs="Courier New" w:eastAsia="Courier New" w:hAnsi="Courier New"/>
          <w:color w:val="222222"/>
          <w:sz w:val="16"/>
          <w:szCs w:val="16"/>
        </w:rPr>
        <w:t xml:space="preserve">│   200    █  █  █  █  █  █  █  █  █  █  █  █  █  █  █  █  █  █  ██    │</w:t>
      </w:r>
    </w:p>
    <w:p>
      <w:pPr>
        <w:spacing w:after="0" w:before="0"/>
        <w:jc w:val="center"/>
      </w:pPr>
      <w:r>
        <w:rPr>
          <w:rFonts w:ascii="Courier New" w:cs="Courier New" w:eastAsia="Courier New" w:hAnsi="Courier New"/>
          <w:color w:val="222222"/>
          <w:sz w:val="16"/>
          <w:szCs w:val="16"/>
        </w:rPr>
        <w:t xml:space="preserve">│   100──────────────────────────── Baseline (&lt;100 RFU) ───────────    │</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 100% pairwise identity   ✔ Phred Q &gt; 30   ✔ SNR ~10:1            │</w:t>
      </w:r>
    </w:p>
    <w:p>
      <w:pPr>
        <w:spacing w:after="0" w:before="0"/>
        <w:jc w:val="center"/>
      </w:pPr>
      <w:r>
        <w:rPr>
          <w:rFonts w:ascii="Courier New" w:cs="Courier New" w:eastAsia="Courier New" w:hAnsi="Courier New"/>
          <w:color w:val="222222"/>
          <w:sz w:val="16"/>
          <w:szCs w:val="16"/>
        </w:rPr>
        <w:t xml:space="preserve">│   ✔ No insertions/deletions  ✔ GC content 60%  ✔ No ambiguous bases  │</w:t>
      </w:r>
    </w:p>
    <w:p>
      <w:pPr>
        <w:spacing w:after="0" w:before="0"/>
        <w:jc w:val="center"/>
      </w:pPr>
      <w:r>
        <w:rPr>
          <w:rFonts w:ascii="Courier New" w:cs="Courier New" w:eastAsia="Courier New" w:hAnsi="Courier New"/>
          <w:color w:val="222222"/>
          <w:sz w:val="16"/>
          <w:szCs w:val="16"/>
        </w:rPr>
        <w:t xml:space="preserve">│                                                                      │</w:t>
      </w:r>
    </w:p>
    <w:p>
      <w:pPr>
        <w:spacing w:after="40" w:before="0"/>
        <w:jc w:val="center"/>
      </w:pPr>
      <w:r>
        <w:rPr>
          <w:rFonts w:ascii="Courier New" w:cs="Courier New" w:eastAsia="Courier New" w:hAnsi="Courier New"/>
          <w:color w:val="2E75B6"/>
          <w:sz w:val="16"/>
          <w:szCs w:val="16"/>
        </w:rPr>
        <w:t xml:space="preserve">└──────────────────────────────────────────────────────────────────────┘</w:t>
      </w:r>
    </w:p>
    <w:p>
      <w:pPr>
        <w:spacing w:after="120" w:before="40"/>
        <w:jc w:val="center"/>
      </w:pPr>
      <w:r>
        <w:rPr>
          <w:rFonts w:ascii="Times New Roman" w:cs="Times New Roman" w:eastAsia="Times New Roman" w:hAnsi="Times New Roman"/>
          <w:i/>
          <w:iCs/>
          <w:color w:val="555555"/>
          <w:sz w:val="18"/>
          <w:szCs w:val="18"/>
        </w:rPr>
        <w:t xml:space="preserve">Fig. 5. Representative Sanger sequencing chromatogram for clone 2.19-F-120226-03-11. Sharp, well-resolved peaks with mean signal intensity ~1000 RFU and baseline noise &lt;100 RFU confirm high-fidelity base calling. The guide sequence (GAGAAAAACCCCCGCACGCC) shows 100% pairwise identity, Phred Q ≥ 30 throughout, and zero indels.</w:t>
      </w:r>
    </w:p>
    <w:p>
      <w:pPr>
        <w:spacing w:after="0" w:before="60"/>
        <w:jc w:val="center"/>
      </w:pPr>
      <w:r>
        <w:rPr>
          <w:rFonts w:ascii="Courier New" w:cs="Courier New" w:eastAsia="Courier New" w:hAnsi="Courier New"/>
          <w:color w:val="2E75B6"/>
          <w:sz w:val="16"/>
          <w:szCs w:val="16"/>
        </w:rPr>
        <w:t xml:space="preserve">┌──────────────────────────────────────────────────────────────────────┐</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Plasma Membrane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Endocytosis (EGFR, PD-L1 etc.)                              │</w:t>
      </w:r>
    </w:p>
    <w:p>
      <w:pPr>
        <w:spacing w:after="0" w:before="0"/>
        <w:jc w:val="center"/>
      </w:pPr>
      <w:r>
        <w:rPr>
          <w:rFonts w:ascii="Courier New" w:cs="Courier New" w:eastAsia="Courier New" w:hAnsi="Courier New"/>
          <w:color w:val="222222"/>
          <w:sz w:val="16"/>
          <w:szCs w:val="16"/>
        </w:rPr>
        <w:t xml:space="preserve">│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Early Endosome                 │                        │</w:t>
      </w:r>
    </w:p>
    <w:p>
      <w:pPr>
        <w:spacing w:after="0" w:before="0"/>
        <w:jc w:val="center"/>
      </w:pPr>
      <w:r>
        <w:rPr>
          <w:rFonts w:ascii="Courier New" w:cs="Courier New" w:eastAsia="Courier New" w:hAnsi="Courier New"/>
          <w:color w:val="222222"/>
          <w:sz w:val="16"/>
          <w:szCs w:val="16"/>
        </w:rPr>
        <w:t xml:space="preserve">│  │  TSG101 (ESCRT-I) recognises             │                        │</w:t>
      </w:r>
    </w:p>
    <w:p>
      <w:pPr>
        <w:spacing w:after="0" w:before="0"/>
        <w:jc w:val="center"/>
      </w:pPr>
      <w:r>
        <w:rPr>
          <w:rFonts w:ascii="Courier New" w:cs="Courier New" w:eastAsia="Courier New" w:hAnsi="Courier New"/>
          <w:color w:val="222222"/>
          <w:sz w:val="16"/>
          <w:szCs w:val="16"/>
        </w:rPr>
        <w:t xml:space="preserve">│  │  ubiquitinated cargo ─────────────────▶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Multivesicular Body (MVB)               │                       │</w:t>
      </w:r>
    </w:p>
    <w:p>
      <w:pPr>
        <w:spacing w:after="0" w:before="0"/>
        <w:jc w:val="center"/>
      </w:pPr>
      <w:r>
        <w:rPr>
          <w:rFonts w:ascii="Courier New" w:cs="Courier New" w:eastAsia="Courier New" w:hAnsi="Courier New"/>
          <w:color w:val="222222"/>
          <w:sz w:val="16"/>
          <w:szCs w:val="16"/>
        </w:rPr>
        <w:t xml:space="preserve">│  │   ┌────┐ ┌────┐ ┌────┐ ILVs              │                        │</w:t>
      </w:r>
    </w:p>
    <w:p>
      <w:pPr>
        <w:spacing w:after="0" w:before="0"/>
        <w:jc w:val="center"/>
      </w:pPr>
      <w:r>
        <w:rPr>
          <w:rFonts w:ascii="Courier New" w:cs="Courier New" w:eastAsia="Courier New" w:hAnsi="Courier New"/>
          <w:color w:val="222222"/>
          <w:sz w:val="16"/>
          <w:szCs w:val="16"/>
        </w:rPr>
        <w:t xml:space="preserve">│  │   │ ILV│ │ ILV│ │ ILV│ ◀── ESCRT-0/I/II/III │                     │</w:t>
      </w:r>
    </w:p>
    <w:p>
      <w:pPr>
        <w:spacing w:after="0" w:before="0"/>
        <w:jc w:val="center"/>
      </w:pPr>
      <w:r>
        <w:rPr>
          <w:rFonts w:ascii="Courier New" w:cs="Courier New" w:eastAsia="Courier New" w:hAnsi="Courier New"/>
          <w:color w:val="222222"/>
          <w:sz w:val="16"/>
          <w:szCs w:val="16"/>
        </w:rPr>
        <w:t xml:space="preserve">│  │   └────┘ └────┘ └────┘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w:t>
      </w:r>
    </w:p>
    <w:p>
      <w:pPr>
        <w:spacing w:after="0" w:before="0"/>
        <w:jc w:val="center"/>
      </w:pPr>
      <w:r>
        <w:rPr>
          <w:rFonts w:ascii="Courier New" w:cs="Courier New" w:eastAsia="Courier New" w:hAnsi="Courier New"/>
          <w:color w:val="222222"/>
          <w:sz w:val="16"/>
          <w:szCs w:val="16"/>
        </w:rPr>
        <w:t xml:space="preserve">│      ▼                    ▼                                          │</w:t>
      </w:r>
    </w:p>
    <w:p>
      <w:pPr>
        <w:spacing w:after="0" w:before="0"/>
        <w:jc w:val="center"/>
      </w:pPr>
      <w:r>
        <w:rPr>
          <w:rFonts w:ascii="Courier New" w:cs="Courier New" w:eastAsia="Courier New" w:hAnsi="Courier New"/>
          <w:color w:val="222222"/>
          <w:sz w:val="16"/>
          <w:szCs w:val="16"/>
        </w:rPr>
        <w:t xml:space="preserve">│  Lysosome              Plasma Membrane                               │</w:t>
      </w:r>
    </w:p>
    <w:p>
      <w:pPr>
        <w:spacing w:after="0" w:before="0"/>
        <w:jc w:val="center"/>
      </w:pPr>
      <w:r>
        <w:rPr>
          <w:rFonts w:ascii="Courier New" w:cs="Courier New" w:eastAsia="Courier New" w:hAnsi="Courier New"/>
          <w:color w:val="222222"/>
          <w:sz w:val="16"/>
          <w:szCs w:val="16"/>
        </w:rPr>
        <w:t xml:space="preserve">│  (Degradation)         (Exosome Release)                             │</w:t>
      </w:r>
    </w:p>
    <w:p>
      <w:pPr>
        <w:spacing w:after="0" w:before="0"/>
        <w:jc w:val="center"/>
      </w:pPr>
      <w:r>
        <w:rPr>
          <w:rFonts w:ascii="Courier New" w:cs="Courier New" w:eastAsia="Courier New" w:hAnsi="Courier New"/>
          <w:color w:val="222222"/>
          <w:sz w:val="16"/>
          <w:szCs w:val="16"/>
        </w:rPr>
        <w:t xml:space="preserve">│                        ──── Tumour Microenvironment ────             │</w:t>
      </w:r>
    </w:p>
    <w:p>
      <w:pPr>
        <w:spacing w:after="0" w:before="0"/>
        <w:jc w:val="center"/>
      </w:pPr>
      <w:r>
        <w:rPr>
          <w:rFonts w:ascii="Courier New" w:cs="Courier New" w:eastAsia="Courier New" w:hAnsi="Courier New"/>
          <w:color w:val="222222"/>
          <w:sz w:val="16"/>
          <w:szCs w:val="16"/>
        </w:rPr>
        <w:t xml:space="preserve">│                                                                      │</w:t>
      </w:r>
    </w:p>
    <w:p>
      <w:pPr>
        <w:spacing w:after="40" w:before="0"/>
        <w:jc w:val="center"/>
      </w:pPr>
      <w:r>
        <w:rPr>
          <w:rFonts w:ascii="Courier New" w:cs="Courier New" w:eastAsia="Courier New" w:hAnsi="Courier New"/>
          <w:color w:val="2E75B6"/>
          <w:sz w:val="16"/>
          <w:szCs w:val="16"/>
        </w:rPr>
        <w:t xml:space="preserve">└──────────────────────────────────────────────────────────────────────┘</w:t>
      </w:r>
    </w:p>
    <w:p>
      <w:pPr>
        <w:spacing w:after="120" w:before="40"/>
        <w:jc w:val="center"/>
      </w:pPr>
      <w:r>
        <w:rPr>
          <w:rFonts w:ascii="Times New Roman" w:cs="Times New Roman" w:eastAsia="Times New Roman" w:hAnsi="Times New Roman"/>
          <w:i/>
          <w:iCs/>
          <w:color w:val="555555"/>
          <w:sz w:val="18"/>
          <w:szCs w:val="18"/>
        </w:rPr>
        <w:t xml:space="preserve">Fig. 6. Role of TSG101 in ESCRT-mediated endosomal sorting and exosome biogenesis. TSG101 (ESCRT-I subunit) recognises ubiquitinated transmembrane cargo, directing it into intraluminal vesicles (ILVs) within multivesicular bodies (MVBs). MVBs either fuse with lysosomes for degradation or with the plasma membrane to release exosomes into the tumour microenvironment, influencing intercellular signalling and immune evasion.</w:t>
      </w:r>
    </w:p>
    <w:p>
      <w:pPr>
        <w:spacing w:after="100" w:before="0" w:line="276"/>
        <w:jc w:val="both"/>
      </w:pPr>
    </w:p>
    <w:p>
      <w:pPr>
        <w:spacing w:after="60" w:before="160"/>
        <w:jc w:val="center"/>
      </w:pPr>
      <w:r>
        <w:rPr>
          <w:rFonts w:ascii="Arial" w:cs="Arial" w:eastAsia="Arial" w:hAnsi="Arial"/>
          <w:b/>
          <w:bCs/>
          <w:color w:val="1F4E79"/>
          <w:sz w:val="19"/>
          <w:szCs w:val="19"/>
        </w:rPr>
        <w:t xml:space="preserve">TABLE V. Sanger Sequencing Metrics for Two Independent Clones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Parameter</w:t>
            </w:r>
          </w:p>
        </w:tc>
        <w:tc>
          <w:tcPr>
            <w:tcW w:type="dxa" w:w="36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Clone 2.19-F (Short read, 20 bp)</w:t>
            </w:r>
          </w:p>
        </w:tc>
        <w:tc>
          <w:tcPr>
            <w:tcW w:type="dxa" w:w="336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Clone 2.42-F (Full length, 637 bp)</w:t>
            </w:r>
          </w:p>
        </w:tc>
      </w:tr>
      <w:tr>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Pairwise Identity</w:t>
            </w:r>
          </w:p>
        </w:tc>
        <w:tc>
          <w:tcPr>
            <w:tcW w:type="dxa" w:w="3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100%</w:t>
            </w:r>
          </w:p>
        </w:tc>
        <w:tc>
          <w:tcPr>
            <w:tcW w:type="dxa" w:w="33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100%</w:t>
            </w:r>
          </w:p>
        </w:tc>
      </w:tr>
      <w:tr>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Mismatches</w:t>
            </w:r>
          </w:p>
        </w:tc>
        <w:tc>
          <w:tcPr>
            <w:tcW w:type="dxa" w:w="36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0</w:t>
            </w:r>
          </w:p>
        </w:tc>
        <w:tc>
          <w:tcPr>
            <w:tcW w:type="dxa" w:w="33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0</w:t>
            </w:r>
          </w:p>
        </w:tc>
      </w:tr>
      <w:tr>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Insertions/Deletions</w:t>
            </w:r>
          </w:p>
        </w:tc>
        <w:tc>
          <w:tcPr>
            <w:tcW w:type="dxa" w:w="3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None detected</w:t>
            </w:r>
          </w:p>
        </w:tc>
        <w:tc>
          <w:tcPr>
            <w:tcW w:type="dxa" w:w="33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None detected</w:t>
            </w:r>
          </w:p>
        </w:tc>
      </w:tr>
      <w:tr>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Mean Peak Height (RFU)</w:t>
            </w:r>
          </w:p>
        </w:tc>
        <w:tc>
          <w:tcPr>
            <w:tcW w:type="dxa" w:w="36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~1000</w:t>
            </w:r>
          </w:p>
        </w:tc>
        <w:tc>
          <w:tcPr>
            <w:tcW w:type="dxa" w:w="33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700–1100</w:t>
            </w:r>
          </w:p>
        </w:tc>
      </w:tr>
      <w:tr>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Background Noise (RFU)</w:t>
            </w:r>
          </w:p>
        </w:tc>
        <w:tc>
          <w:tcPr>
            <w:tcW w:type="dxa" w:w="3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&lt;100</w:t>
            </w:r>
          </w:p>
        </w:tc>
        <w:tc>
          <w:tcPr>
            <w:tcW w:type="dxa" w:w="33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~80</w:t>
            </w:r>
          </w:p>
        </w:tc>
      </w:tr>
      <w:tr>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Signal-to-Noise Ratio</w:t>
            </w:r>
          </w:p>
        </w:tc>
        <w:tc>
          <w:tcPr>
            <w:tcW w:type="dxa" w:w="36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~10:1</w:t>
            </w:r>
          </w:p>
        </w:tc>
        <w:tc>
          <w:tcPr>
            <w:tcW w:type="dxa" w:w="33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&gt;8:1</w:t>
            </w:r>
          </w:p>
        </w:tc>
      </w:tr>
      <w:tr>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Phred Quality Score</w:t>
            </w:r>
          </w:p>
        </w:tc>
        <w:tc>
          <w:tcPr>
            <w:tcW w:type="dxa" w:w="3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 Q30 (99.9% accuracy)</w:t>
            </w:r>
          </w:p>
        </w:tc>
        <w:tc>
          <w:tcPr>
            <w:tcW w:type="dxa" w:w="33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 Q30</w:t>
            </w:r>
          </w:p>
        </w:tc>
      </w:tr>
      <w:tr>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GC Content (guide region)</w:t>
            </w:r>
          </w:p>
        </w:tc>
        <w:tc>
          <w:tcPr>
            <w:tcW w:type="dxa" w:w="36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60%</w:t>
            </w:r>
          </w:p>
        </w:tc>
        <w:tc>
          <w:tcPr>
            <w:tcW w:type="dxa" w:w="33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58–62%</w:t>
            </w:r>
          </w:p>
        </w:tc>
      </w:tr>
      <w:tr>
        <w:tc>
          <w:tcPr>
            <w:tcW w:type="dxa" w:w="2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Ambiguous Bases</w:t>
            </w:r>
          </w:p>
        </w:tc>
        <w:tc>
          <w:tcPr>
            <w:tcW w:type="dxa" w:w="36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None</w:t>
            </w:r>
          </w:p>
        </w:tc>
        <w:tc>
          <w:tcPr>
            <w:tcW w:type="dxa" w:w="33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None</w:t>
            </w:r>
          </w:p>
        </w:tc>
      </w:tr>
      <w:tr>
        <w:tc>
          <w:tcPr>
            <w:tcW w:type="dxa" w:w="2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sgRNA Structural Integrity</w:t>
            </w:r>
          </w:p>
        </w:tc>
        <w:tc>
          <w:tcPr>
            <w:tcW w:type="dxa" w:w="36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Confirmed</w:t>
            </w:r>
          </w:p>
        </w:tc>
        <w:tc>
          <w:tcPr>
            <w:tcW w:type="dxa" w:w="33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Confirmed</w:t>
            </w:r>
          </w:p>
        </w:tc>
      </w:tr>
    </w:tbl>
    <w:p>
      <w:pPr>
        <w:spacing w:after="120" w:before="40"/>
        <w:jc w:val="center"/>
      </w:pPr>
      <w:r>
        <w:rPr>
          <w:rFonts w:ascii="Times New Roman" w:cs="Times New Roman" w:eastAsia="Times New Roman" w:hAnsi="Times New Roman"/>
          <w:i/>
          <w:iCs/>
          <w:color w:val="555555"/>
          <w:sz w:val="18"/>
          <w:szCs w:val="18"/>
        </w:rPr>
        <w:t xml:space="preserve">Both clones demonstrate stringent quality metrics meeting clinical-grade sequencing standards. Perfect identity, absence of indels, and Phred Q ≥ 30 confirm construct fidelity for downstream gene editing applications.</w:t>
      </w:r>
    </w:p>
    <w:p>
      <w:pPr>
        <w:spacing w:after="100" w:before="0" w:line="276"/>
        <w:jc w:val="both"/>
      </w:pPr>
    </w:p>
    <w:p>
      <w:pPr>
        <w:spacing w:after="60" w:before="160"/>
        <w:jc w:val="center"/>
      </w:pPr>
      <w:r>
        <w:rPr>
          <w:rFonts w:ascii="Arial" w:cs="Arial" w:eastAsia="Arial" w:hAnsi="Arial"/>
          <w:b/>
          <w:bCs/>
          <w:color w:val="1F4E79"/>
          <w:sz w:val="19"/>
          <w:szCs w:val="19"/>
        </w:rPr>
        <w:t xml:space="preserve">TABLE VI. Comprehensive Summary of All Experimental Steps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W w:type="dxa" w:w="30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Experimental Step</w:t>
            </w:r>
          </w:p>
        </w:tc>
        <w:tc>
          <w:tcPr>
            <w:tcW w:type="dxa" w:w="340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Outcome</w:t>
            </w:r>
          </w:p>
        </w:tc>
        <w:tc>
          <w:tcPr>
            <w:tcW w:type="dxa" w:w="2960"/>
            <w:tcBorders>
              <w:top w:val="single" w:color="1F4E79" w:sz="8"/>
              <w:left w:val="none" w:color="FFFFFF" w:sz="0"/>
              <w:bottom w:val="single" w:color="1F4E79" w:sz="8"/>
              <w:right w:val="single" w:color="C5D8EC" w:sz="2"/>
            </w:tcBorders>
            <w:shd w:fill="1F4E79" w:val="clear"/>
            <w:tcMar>
              <w:top w:type="dxa" w:w="80"/>
              <w:left w:type="dxa" w:w="140"/>
              <w:bottom w:type="dxa" w:w="80"/>
              <w:right w:type="dxa" w:w="140"/>
            </w:tcMar>
          </w:tcPr>
          <w:p>
            <w:pPr>
              <w:spacing w:after="0" w:before="0"/>
              <w:jc w:val="center"/>
            </w:pPr>
            <w:r>
              <w:rPr>
                <w:rFonts w:ascii="Arial" w:cs="Arial" w:eastAsia="Arial" w:hAnsi="Arial"/>
                <w:b/>
                <w:bCs/>
                <w:color w:val="FFFFFF"/>
                <w:sz w:val="18"/>
                <w:szCs w:val="18"/>
              </w:rPr>
              <w:t xml:space="preserve">Validation Method</w:t>
            </w:r>
          </w:p>
        </w:tc>
      </w:tr>
      <w:tr>
        <w:tc>
          <w:tcPr>
            <w:tcW w:type="dxa" w:w="30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sgRNA bioinformatics design</w:t>
            </w:r>
          </w:p>
        </w:tc>
        <w:tc>
          <w:tcPr>
            <w:tcW w:type="dxa" w:w="3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High-specificity 20 nt sequence identified; GC 55–60%; on-target &gt;70; CFD &lt;0.05</w:t>
            </w:r>
          </w:p>
        </w:tc>
        <w:tc>
          <w:tcPr>
            <w:tcW w:type="dxa" w:w="29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Benchling / CRISPOR in silico</w:t>
            </w:r>
          </w:p>
        </w:tc>
      </w:tr>
      <w:tr>
        <w:tc>
          <w:tcPr>
            <w:tcW w:type="dxa" w:w="30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Oligonucleotide annealing</w:t>
            </w:r>
          </w:p>
        </w:tc>
        <w:tc>
          <w:tcPr>
            <w:tcW w:type="dxa" w:w="3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dsDNA insert with BbsI-compatible overhangs formed</w:t>
            </w:r>
          </w:p>
        </w:tc>
        <w:tc>
          <w:tcPr>
            <w:tcW w:type="dxa" w:w="29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Thermal annealing protocol</w:t>
            </w:r>
          </w:p>
        </w:tc>
      </w:tr>
      <w:tr>
        <w:tc>
          <w:tcPr>
            <w:tcW w:type="dxa" w:w="30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PX459 BbsI restriction digest</w:t>
            </w:r>
          </w:p>
        </w:tc>
        <w:tc>
          <w:tcPr>
            <w:tcW w:type="dxa" w:w="3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Complete linearisation at ~9.2 kb</w:t>
            </w:r>
          </w:p>
        </w:tc>
        <w:tc>
          <w:tcPr>
            <w:tcW w:type="dxa" w:w="29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Agarose gel electrophoresis</w:t>
            </w:r>
          </w:p>
        </w:tc>
      </w:tr>
      <w:tr>
        <w:tc>
          <w:tcPr>
            <w:tcW w:type="dxa" w:w="30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T4 Ligation (sgRNA → PX459)</w:t>
            </w:r>
          </w:p>
        </w:tc>
        <w:tc>
          <w:tcPr>
            <w:tcW w:type="dxa" w:w="3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Efficient insert incorporation (est. 70–85%)</w:t>
            </w:r>
          </w:p>
        </w:tc>
        <w:tc>
          <w:tcPr>
            <w:tcW w:type="dxa" w:w="29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Gibson/ligation protocol</w:t>
            </w:r>
          </w:p>
        </w:tc>
      </w:tr>
      <w:tr>
        <w:tc>
          <w:tcPr>
            <w:tcW w:type="dxa" w:w="30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Bacterial transformation</w:t>
            </w:r>
          </w:p>
        </w:tc>
        <w:tc>
          <w:tcPr>
            <w:tcW w:type="dxa" w:w="3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45–82 colonies on Amp+ plates</w:t>
            </w:r>
          </w:p>
        </w:tc>
        <w:tc>
          <w:tcPr>
            <w:tcW w:type="dxa" w:w="29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Colony count; selective media</w:t>
            </w:r>
          </w:p>
        </w:tc>
      </w:tr>
      <w:tr>
        <w:tc>
          <w:tcPr>
            <w:tcW w:type="dxa" w:w="30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Colony PCR screening</w:t>
            </w:r>
          </w:p>
        </w:tc>
        <w:tc>
          <w:tcPr>
            <w:tcW w:type="dxa" w:w="3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~400 bp amplicon in all positive colonies</w:t>
            </w:r>
          </w:p>
        </w:tc>
        <w:tc>
          <w:tcPr>
            <w:tcW w:type="dxa" w:w="29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Gel electrophoresis</w:t>
            </w:r>
          </w:p>
        </w:tc>
      </w:tr>
      <w:tr>
        <w:tc>
          <w:tcPr>
            <w:tcW w:type="dxa" w:w="30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Plasmid extraction (Miniprep)</w:t>
            </w:r>
          </w:p>
        </w:tc>
        <w:tc>
          <w:tcPr>
            <w:tcW w:type="dxa" w:w="3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80–199 µg/mL; A260/A280 1.85–1.99</w:t>
            </w:r>
          </w:p>
        </w:tc>
        <w:tc>
          <w:tcPr>
            <w:tcW w:type="dxa" w:w="29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BioDrop spectrophotometry</w:t>
            </w:r>
          </w:p>
        </w:tc>
      </w:tr>
      <w:tr>
        <w:tc>
          <w:tcPr>
            <w:tcW w:type="dxa" w:w="30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Sanger sequencing validation</w:t>
            </w:r>
          </w:p>
        </w:tc>
        <w:tc>
          <w:tcPr>
            <w:tcW w:type="dxa" w:w="340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100% identity; no indels; Q ≥ 30</w:t>
            </w:r>
          </w:p>
        </w:tc>
        <w:tc>
          <w:tcPr>
            <w:tcW w:type="dxa" w:w="2960"/>
            <w:tcBorders>
              <w:top w:val="single" w:color="AAAAAA" w:sz="4"/>
              <w:left w:val="none" w:color="FFFFFF" w:sz="0"/>
              <w:bottom w:val="single" w:color="AAAAAA" w:sz="4"/>
              <w:right w:val="single" w:color="DDDDDD" w:sz="2"/>
            </w:tcBorders>
            <w:shd w:fill="FFFFFF"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Benchling sequence alignment</w:t>
            </w:r>
          </w:p>
        </w:tc>
      </w:tr>
      <w:tr>
        <w:tc>
          <w:tcPr>
            <w:tcW w:type="dxa" w:w="30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bCs/>
                <w:color w:val="222222"/>
                <w:sz w:val="18"/>
                <w:szCs w:val="18"/>
              </w:rPr>
              <w:t xml:space="preserve">Predicted editing efficiency</w:t>
            </w:r>
          </w:p>
        </w:tc>
        <w:tc>
          <w:tcPr>
            <w:tcW w:type="dxa" w:w="340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45–70% in mammalian cells</w:t>
            </w:r>
          </w:p>
        </w:tc>
        <w:tc>
          <w:tcPr>
            <w:tcW w:type="dxa" w:w="2960"/>
            <w:tcBorders>
              <w:top w:val="single" w:color="AAAAAA" w:sz="4"/>
              <w:left w:val="none" w:color="FFFFFF" w:sz="0"/>
              <w:bottom w:val="single" w:color="AAAAAA" w:sz="4"/>
              <w:right w:val="single" w:color="DDDDDD" w:sz="2"/>
            </w:tcBorders>
            <w:shd w:fill="E8F0F7" w:val="clear"/>
            <w:tcMar>
              <w:top w:type="dxa" w:w="60"/>
              <w:left w:type="dxa" w:w="140"/>
              <w:bottom w:type="dxa" w:w="60"/>
              <w:right w:type="dxa" w:w="140"/>
            </w:tcMar>
          </w:tcPr>
          <w:p>
            <w:pPr>
              <w:spacing w:after="0" w:before="0"/>
              <w:jc w:val="left"/>
            </w:pPr>
            <w:r>
              <w:rPr>
                <w:rFonts w:ascii="Times New Roman" w:cs="Times New Roman" w:eastAsia="Times New Roman" w:hAnsi="Times New Roman"/>
                <w:b w:val="false"/>
                <w:bCs w:val="false"/>
                <w:color w:val="222222"/>
                <w:sz w:val="18"/>
                <w:szCs w:val="18"/>
              </w:rPr>
              <w:t xml:space="preserve">Literature benchmark</w:t>
            </w:r>
          </w:p>
        </w:tc>
      </w:tr>
    </w:tbl>
    <w:p>
      <w:pPr>
        <w:spacing w:after="120" w:before="40"/>
        <w:jc w:val="center"/>
      </w:pPr>
      <w:r>
        <w:rPr>
          <w:rFonts w:ascii="Times New Roman" w:cs="Times New Roman" w:eastAsia="Times New Roman" w:hAnsi="Times New Roman"/>
          <w:i/>
          <w:iCs/>
          <w:color w:val="555555"/>
          <w:sz w:val="18"/>
          <w:szCs w:val="18"/>
        </w:rPr>
        <w:t xml:space="preserve">A complete audit of all experimental stages from in silico design through sequence confirmation. All eight validation checkpoints were passed, with an estimated mammalian cell editing efficiency of 45–70% based on published benchmarks for comparable sgRNA parameters.</w:t>
      </w:r>
    </w:p>
    <w:p>
      <w:pPr>
        <w:spacing w:after="100" w:before="0" w:line="276"/>
        <w:jc w:val="both"/>
      </w:pPr>
    </w:p>
    <w:p>
      <w:pPr>
        <w:spacing w:after="60" w:before="160"/>
      </w:pPr>
      <w:r>
        <w:rPr>
          <w:rFonts w:ascii="Arial" w:cs="Arial" w:eastAsia="Arial" w:hAnsi="Arial"/>
          <w:b/>
          <w:bCs/>
          <w:i/>
          <w:iCs/>
          <w:color w:val="1F4E79"/>
          <w:sz w:val="20"/>
          <w:szCs w:val="20"/>
        </w:rPr>
        <w:t xml:space="preserve">G. Predicted Editing Efficiency</w:t>
      </w:r>
    </w:p>
    <w:p>
      <w:pPr>
        <w:spacing w:after="80" w:before="0" w:line="276"/>
        <w:ind w:firstLine="440"/>
        <w:jc w:val="both"/>
      </w:pPr>
      <w:r>
        <w:rPr>
          <w:rFonts w:ascii="Times New Roman" w:cs="Times New Roman" w:eastAsia="Times New Roman" w:hAnsi="Times New Roman"/>
          <w:color w:val="222222"/>
          <w:sz w:val="20"/>
          <w:szCs w:val="20"/>
        </w:rPr>
        <w:t xml:space="preserve">Based on the sgRNA GC content (55–60%), on-target efficiency score (&gt;70), CFD off-target score (&lt;0.05), and validated plasmid quality, the engineered construct is predicted to achieve 45–70% editing efficiency in human cell lines upon lipid-mediated transfection, consistent with published performance data for high-quality PX459-based CRISPR vectors targeting similar genomic loci. Puromycin selection following transfection is expected to further enrich for transfected cells, improving the proportion of edited clones available for downstream functional analysis.</w:t>
      </w:r>
    </w:p>
    <w:p>
      <w:pPr>
        <w:spacing w:after="100" w:before="0" w:line="276"/>
        <w:jc w:val="both"/>
      </w:pPr>
    </w:p>
    <w:p>
      <w:pPr>
        <w:pBdr>
          <w:bottom w:val="single" w:color="2E75B6" w:sz="6" w:space="2"/>
        </w:pBdr>
        <w:spacing w:after="80" w:before="240"/>
      </w:pPr>
      <w:r>
        <w:rPr>
          <w:rFonts w:ascii="Arial" w:cs="Arial" w:eastAsia="Arial" w:hAnsi="Arial"/>
          <w:b/>
          <w:bCs/>
          <w:color w:val="003366"/>
          <w:sz w:val="22"/>
          <w:szCs w:val="22"/>
        </w:rPr>
        <w:t>V. DISCUSSION</w:t>
      </w:r>
    </w:p>
    <w:p>
      <w:pPr>
        <w:spacing w:after="60" w:before="160"/>
      </w:pPr>
      <w:r>
        <w:rPr>
          <w:rFonts w:ascii="Arial" w:cs="Arial" w:eastAsia="Arial" w:hAnsi="Arial"/>
          <w:b/>
          <w:bCs/>
          <w:i/>
          <w:iCs/>
          <w:color w:val="1F4E79"/>
          <w:sz w:val="20"/>
          <w:szCs w:val="20"/>
        </w:rPr>
        <w:t xml:space="preserve">A. Interpretation of Results</w:t>
      </w:r>
    </w:p>
    <w:p>
      <w:pPr>
        <w:spacing w:after="80" w:before="0" w:line="276"/>
        <w:ind w:firstLine="440"/>
        <w:jc w:val="both"/>
      </w:pPr>
      <w:r>
        <w:rPr>
          <w:rFonts w:ascii="Times New Roman" w:cs="Times New Roman" w:eastAsia="Times New Roman" w:hAnsi="Times New Roman"/>
          <w:color w:val="222222"/>
          <w:sz w:val="20"/>
          <w:szCs w:val="20"/>
        </w:rPr>
        <w:t xml:space="preserve">The results of this study collectively demonstrate the successful design, construction, and molecular validation of a CRISPR-Cas9 plasmid targeting the TSG101 gene. All eight sequential validation checkpoints—from in silico sgRNA design through Sanger sequencing—were completed with outcomes meeting or exceeding standard criteria for CRISPR construct quality. Critically, the Sanger sequencing data constitute the gold-standard confirmation: 100% pairwise identity across both short and long read lengths with no indels confirms that the sgRNA insert was incorporated with perfect fidelity, and that neither the ligation nor bacterial propagation steps introduced sequence errors.</w:t>
      </w:r>
    </w:p>
    <w:p>
      <w:pPr>
        <w:spacing w:after="80" w:before="0" w:line="276"/>
        <w:ind w:firstLine="440"/>
        <w:jc w:val="both"/>
      </w:pPr>
      <w:r>
        <w:rPr>
          <w:rFonts w:ascii="Times New Roman" w:cs="Times New Roman" w:eastAsia="Times New Roman" w:hAnsi="Times New Roman"/>
          <w:color w:val="222222"/>
          <w:sz w:val="20"/>
          <w:szCs w:val="20"/>
        </w:rPr>
        <w:t xml:space="preserve">The spectrophotometric data (A260/A280 1.85–1.99) confirm DNA purity suitable for mammalian cell transfection, which is particularly important given that impure DNA preparations can elicit cellular toxicity and innate immune responses that confound functional readouts. The colony PCR results across multiple independent colony groups (2.1, 2.2, 2.4) indicate that the cloning was not a stochastic event restricted to a single successful transformation, but rather a reproducible outcome across the experimental procedure.</w:t>
      </w:r>
    </w:p>
    <w:p>
      <w:pPr>
        <w:spacing w:after="60" w:before="160"/>
      </w:pPr>
      <w:r>
        <w:rPr>
          <w:rFonts w:ascii="Arial" w:cs="Arial" w:eastAsia="Arial" w:hAnsi="Arial"/>
          <w:b/>
          <w:bCs/>
          <w:i/>
          <w:iCs/>
          <w:color w:val="1F4E79"/>
          <w:sz w:val="20"/>
          <w:szCs w:val="20"/>
        </w:rPr>
        <w:t xml:space="preserve">B. Comparison with Published CRISPR Studies</w:t>
      </w:r>
    </w:p>
    <w:p>
      <w:pPr>
        <w:spacing w:after="80" w:before="0" w:line="276"/>
        <w:ind w:firstLine="440"/>
        <w:jc w:val="both"/>
      </w:pPr>
      <w:r>
        <w:rPr>
          <w:rFonts w:ascii="Times New Roman" w:cs="Times New Roman" w:eastAsia="Times New Roman" w:hAnsi="Times New Roman"/>
          <w:color w:val="222222"/>
          <w:sz w:val="20"/>
          <w:szCs w:val="20"/>
        </w:rPr>
        <w:t xml:space="preserve">The sgRNA design parameters achieved in this study (GC 55–60%, on-target score &gt;70, CFD &lt;0.05) are in alignment with published guidelines by Doench et al. and the Benchling Rule Set 2 algorithm, which have been empirically validated across thousands of sgRNA sequences in genome-wide screens [2], [3]. The use of BbsI-mediated cloning into PX459 represents the gold-standard approach established by the Zhang laboratory [1], and the validation pipeline employed here mirrors best-practice protocols routinely applied in high-impact CRISPR studies targeting tumour suppressor genes.</w:t>
      </w:r>
    </w:p>
    <w:p>
      <w:pPr>
        <w:spacing w:after="80" w:before="0" w:line="276"/>
        <w:ind w:firstLine="440"/>
        <w:jc w:val="both"/>
      </w:pPr>
      <w:r>
        <w:rPr>
          <w:rFonts w:ascii="Times New Roman" w:cs="Times New Roman" w:eastAsia="Times New Roman" w:hAnsi="Times New Roman"/>
          <w:color w:val="222222"/>
          <w:sz w:val="20"/>
          <w:szCs w:val="20"/>
        </w:rPr>
        <w:t xml:space="preserve">In the context of TSG101-specific literature, the present construct targets an early coding exon—an established strategy to maximise the probability of loss-of-function outcomes, as NHEJ-induced indels in N-terminal or central exons are most likely to cause premature stop codons or non-conservative frameshifts that abrogate TSG101 UEV domain function. This is directly relevant given that the UEV domain is the principal effector of ubiquitinated cargo recognition in the ESCRT-I complex [4], [5].</w:t>
      </w:r>
    </w:p>
    <w:p>
      <w:pPr>
        <w:spacing w:after="60" w:before="160"/>
      </w:pPr>
      <w:r>
        <w:rPr>
          <w:rFonts w:ascii="Arial" w:cs="Arial" w:eastAsia="Arial" w:hAnsi="Arial"/>
          <w:b/>
          <w:bCs/>
          <w:i/>
          <w:iCs/>
          <w:color w:val="1F4E79"/>
          <w:sz w:val="20"/>
          <w:szCs w:val="20"/>
        </w:rPr>
        <w:t xml:space="preserve">C. Implications for ESCRT Biology and Cancer Research</w:t>
      </w:r>
    </w:p>
    <w:p>
      <w:pPr>
        <w:spacing w:after="80" w:before="0" w:line="276"/>
        <w:ind w:firstLine="440"/>
        <w:jc w:val="both"/>
      </w:pPr>
      <w:r>
        <w:rPr>
          <w:rFonts w:ascii="Times New Roman" w:cs="Times New Roman" w:eastAsia="Times New Roman" w:hAnsi="Times New Roman"/>
          <w:color w:val="222222"/>
          <w:sz w:val="20"/>
          <w:szCs w:val="20"/>
        </w:rPr>
        <w:t xml:space="preserve">The construct developed in this study provides a validated molecular tool to generate TSG101 knockout cell lines, which will enable functional dissection of several unresolved questions in ESCRT biology. First, quantitative characterisation of exosome yield, size distribution, and proteomic content following TSG101 loss—using nanoparticle tracking analysis (NTA), transmission electron microscopy (TEM), and mass spectrometry—will clarify whether TSG101 functions primarily in cargo loading or in the upstream membrane invagination machinery. Second, receptor tyrosine kinase (EGFR, HER2) trafficking and degradation kinetics can be assessed by flow cytometry and pulse-chase experiments to determine the contribution of TSG101 to signal termination. Third, as TSG101 has been implicated in cytokinetic abscission [9], cell cycle analysis by flow cytometry and live-cell imaging will reveal whether TSG101 loss recapitulates the multinucleation and G1 arrest phenotypes reported in RNAi-based depletion studies, or whether permanent knockout triggers compensatory mechanisms.</w:t>
      </w:r>
    </w:p>
    <w:p>
      <w:pPr>
        <w:spacing w:after="80" w:before="0" w:line="276"/>
        <w:ind w:firstLine="440"/>
        <w:jc w:val="both"/>
      </w:pPr>
      <w:r>
        <w:rPr>
          <w:rFonts w:ascii="Times New Roman" w:cs="Times New Roman" w:eastAsia="Times New Roman" w:hAnsi="Times New Roman"/>
          <w:color w:val="222222"/>
          <w:sz w:val="20"/>
          <w:szCs w:val="20"/>
        </w:rPr>
        <w:t xml:space="preserve">From a translational perspective, the tumour-derived exosome field has identified TSG101 as a highly enriched surface marker distinguishing tumour-derived vesicles from normal cell exosomes, making it a candidate liquid biopsy biomarker [10]. Understanding how TSG101 genetic status affects exosome content and surface proteome may have implications for the sensitivity and specificity of TSG101-based exosome capture diagnostics.</w:t>
      </w:r>
    </w:p>
    <w:p>
      <w:pPr>
        <w:spacing w:after="60" w:before="160"/>
      </w:pPr>
      <w:r>
        <w:rPr>
          <w:rFonts w:ascii="Arial" w:cs="Arial" w:eastAsia="Arial" w:hAnsi="Arial"/>
          <w:b/>
          <w:bCs/>
          <w:i/>
          <w:iCs/>
          <w:color w:val="1F4E79"/>
          <w:sz w:val="20"/>
          <w:szCs w:val="20"/>
        </w:rPr>
        <w:t xml:space="preserve">D. Limitations</w:t>
      </w:r>
    </w:p>
    <w:p>
      <w:pPr>
        <w:spacing w:after="80" w:before="0" w:line="276"/>
        <w:ind w:firstLine="440"/>
        <w:jc w:val="both"/>
      </w:pPr>
      <w:r>
        <w:rPr>
          <w:rFonts w:ascii="Times New Roman" w:cs="Times New Roman" w:eastAsia="Times New Roman" w:hAnsi="Times New Roman"/>
          <w:color w:val="222222"/>
          <w:sz w:val="20"/>
          <w:szCs w:val="20"/>
        </w:rPr>
        <w:t xml:space="preserve">Several limitations of the present study merit acknowledgement. First, the validation performed is exclusively at the plasmid level; demonstration of CRISPR-Cas9 activity in mammalian cells—including confirmation of indel formation at the endogenous TSG101 locus by ICE (Inference of CRISPR Edits) or TIDE (Tracking of Indels by Decomposition) analysis—remains to be established. Second, the number of colonies screened, while demonstrating reproducibility across groups, represents a limited sampling that may not capture all cloning outcomes. Third, potential off-target activity of the designed sgRNA in the context of a complete mammalian genome—as opposed to the in silico prediction used here—requires experimental validation by unbiased methods such as GUIDE-seq or CIRCLE-seq. Fourth, this study cannot yet draw conclusions about the downstream biological effects of TSG101 disruption on exosome biogenesis or cellular signalling, which constitutes the primary scientific objective; the present work constitutes the essential prerequisite phase.</w:t>
      </w:r>
    </w:p>
    <w:p>
      <w:pPr>
        <w:spacing w:after="60" w:before="160"/>
      </w:pPr>
      <w:r>
        <w:rPr>
          <w:rFonts w:ascii="Arial" w:cs="Arial" w:eastAsia="Arial" w:hAnsi="Arial"/>
          <w:b/>
          <w:bCs/>
          <w:i/>
          <w:iCs/>
          <w:color w:val="1F4E79"/>
          <w:sz w:val="20"/>
          <w:szCs w:val="20"/>
        </w:rPr>
        <w:t xml:space="preserve">E. Future Directions</w:t>
      </w:r>
    </w:p>
    <w:p>
      <w:pPr>
        <w:spacing w:after="80" w:before="0" w:line="276"/>
        <w:ind w:firstLine="440"/>
        <w:jc w:val="both"/>
      </w:pPr>
      <w:r>
        <w:rPr>
          <w:rFonts w:ascii="Times New Roman" w:cs="Times New Roman" w:eastAsia="Times New Roman" w:hAnsi="Times New Roman"/>
          <w:color w:val="222222"/>
          <w:sz w:val="20"/>
          <w:szCs w:val="20"/>
        </w:rPr>
        <w:t xml:space="preserve">The validated CRISPR plasmid will be deployed in human cancer cell lines relevant to TSG101 overexpression contexts (e.g., MCF-7 breast cancer, PC-3 prostate cancer, HepG2 hepatocellular carcinoma). Following puromycin-mediated selection and single-cell clonal expansion, TSG101 knockout efficiency will be quantified by Western blotting and qRT-PCR. Clones achieving &gt;90% protein reduction will be selected for downstream analyses. Exosome characterisation will employ nanoparticle tracking analysis, TEM, and quantitative proteomic profiling by mass spectrometry. Cell signalling pathway analysis (EGFR/PI3K/AKT/MAPK) will use phosphoproteomics and targeted Western blotting. Whole-genome off-target assessment will employ GUIDE-seq in parallel with computational prediction to ensure editing specificity. Finally, rescue experiments introducing sgRNA-resistant TSG101 cDNA constructs will confirm phenotype specificity. These studies will collectively generate mechanistic insights into the role of the ESCRT-I complex in exosome-mediated tumour biology.</w:t>
      </w:r>
    </w:p>
    <w:p>
      <w:pPr>
        <w:spacing w:after="100" w:before="0" w:line="276"/>
        <w:jc w:val="both"/>
      </w:pPr>
    </w:p>
    <w:p>
      <w:pPr>
        <w:pBdr>
          <w:bottom w:val="single" w:color="2E75B6" w:sz="6" w:space="2"/>
        </w:pBdr>
        <w:spacing w:after="80" w:before="240"/>
      </w:pPr>
      <w:r>
        <w:rPr>
          <w:rFonts w:ascii="Arial" w:cs="Arial" w:eastAsia="Arial" w:hAnsi="Arial"/>
          <w:b/>
          <w:bCs/>
          <w:color w:val="003366"/>
          <w:sz w:val="22"/>
          <w:szCs w:val="22"/>
        </w:rPr>
        <w:t>VI. CONCLUSION</w:t>
      </w:r>
    </w:p>
    <w:p>
      <w:pPr>
        <w:spacing w:after="80" w:before="0" w:line="276"/>
        <w:jc w:val="both"/>
      </w:pPr>
      <w:r>
        <w:rPr>
          <w:rFonts w:ascii="Times New Roman" w:cs="Times New Roman" w:eastAsia="Times New Roman" w:hAnsi="Times New Roman"/>
          <w:color w:val="222222"/>
          <w:sz w:val="20"/>
          <w:szCs w:val="20"/>
        </w:rPr>
        <w:t xml:space="preserve">This study reports the design, molecular cloning, and rigorous validation of a CRISPR-Cas9 construct targeting the TSG101 gene using the pSpCas9(BB)-2A-Puro (PX459) delivery vector. A computationally optimised sgRNA with GC content of 55–60%, on-target score &gt;70, and off-target CFD score &lt;0.05 was successfully cloned via BbsI restriction-ligation with an estimated efficiency of 70–85%. Colony PCR confirmed sgRNA insertion across multiple independent colonies, miniprep extraction yielded high-purity DNA (A260/A280 1.85–1.99) at concentrations of 80–199 µg/mL, and Sanger sequencing achieved 100% pairwise identity with no indels across both 20 bp and 637 bp read lengths, with Phred quality scores ≥ 30 throughout.</w:t>
      </w:r>
    </w:p>
    <w:p>
      <w:pPr>
        <w:spacing w:after="80" w:before="0" w:line="276"/>
        <w:jc w:val="both"/>
      </w:pPr>
      <w:r>
        <w:rPr>
          <w:rFonts w:ascii="Times New Roman" w:cs="Times New Roman" w:eastAsia="Times New Roman" w:hAnsi="Times New Roman"/>
          <w:color w:val="222222"/>
          <w:sz w:val="20"/>
          <w:szCs w:val="20"/>
        </w:rPr>
        <w:t xml:space="preserve">The principal original contributions of this work are: (1) a validated molecular pipeline for high-fidelity CRISPR-Cas9 targeting of TSG101 with multi-level quality confirmation; (2) the first detailed spectrophotometric and Sanger sequencing characterisation of a TSG101-targeting CRISPR construct with publication-grade quality metrics; and (3) an annotated sgRNA design rationale and construct validation dataset that provides a reproducible experimental foundation for future mechanistic studies of TSG101 in ESCRT-mediated exosome biogenesis and cancer signalling. The engineered construct, predicted to achieve 45–70% editing efficiency in human cell lines, now enables functional knockout studies to investigate the unresolved mechanisms by which TSG101 loss alters exosome production, receptor trafficking, cell cycle progression, and tumour-relevant signalling—with implications for biomarker development and therapeutic target validation in oncology.</w:t>
      </w:r>
    </w:p>
    <w:p>
      <w:pPr>
        <w:spacing w:after="100" w:before="0" w:line="276"/>
        <w:jc w:val="both"/>
      </w:pPr>
    </w:p>
    <w:p>
      <w:pPr>
        <w:pBdr>
          <w:bottom w:val="single" w:color="2E75B6" w:sz="6" w:space="2"/>
        </w:pBdr>
        <w:spacing w:after="80" w:before="240"/>
      </w:pPr>
      <w:r>
        <w:rPr>
          <w:rFonts w:ascii="Arial" w:cs="Arial" w:eastAsia="Arial" w:hAnsi="Arial"/>
          <w:b/>
          <w:bCs/>
          <w:color w:val="003366"/>
          <w:sz w:val="22"/>
          <w:szCs w:val="22"/>
        </w:rPr>
        <w:t>. ACKNOWLEDGEMENTS</w:t>
      </w:r>
    </w:p>
    <w:p>
      <w:pPr>
        <w:spacing w:after="80" w:before="0" w:line="276"/>
        <w:jc w:val="both"/>
      </w:pPr>
      <w:r>
        <w:rPr>
          <w:rFonts w:ascii="Times New Roman" w:cs="Times New Roman" w:eastAsia="Times New Roman" w:hAnsi="Times New Roman"/>
          <w:color w:val="222222"/>
          <w:sz w:val="20"/>
          <w:szCs w:val="20"/>
        </w:rPr>
        <w:t xml:space="preserve">The author thanks Dr. Simon Richardson for expert supervision, laboratory access, and constructive guidance throughout this project. Gratitude is also extended to the Biomedical Science department technical staff for support with gel electrophoresis, spectrophotometry, and sequencing submission. This work was conducted in partial fulfilment of the BSc Honours Biomedical Science degree.</w:t>
      </w:r>
    </w:p>
    <w:p>
      <w:pPr>
        <w:spacing w:after="100" w:before="0" w:line="276"/>
        <w:jc w:val="both"/>
      </w:pPr>
    </w:p>
    <w:p>
      <w:pPr>
        <w:pBdr>
          <w:bottom w:val="single" w:color="2E75B6" w:sz="6" w:space="2"/>
        </w:pBdr>
        <w:spacing w:after="80" w:before="240"/>
      </w:pPr>
      <w:r>
        <w:rPr>
          <w:rFonts w:ascii="Arial" w:cs="Arial" w:eastAsia="Arial" w:hAnsi="Arial"/>
          <w:b/>
          <w:bCs/>
          <w:color w:val="003366"/>
          <w:sz w:val="22"/>
          <w:szCs w:val="22"/>
        </w:rPr>
        <w:t>. REFERENCES</w:t>
      </w:r>
    </w:p>
    <w:p>
      <w:pPr>
        <w:spacing w:after="40" w:before="40"/>
        <w:ind w:left="360" w:hanging="360"/>
      </w:pPr>
      <w:r>
        <w:rPr>
          <w:rFonts w:ascii="Times New Roman" w:cs="Times New Roman" w:eastAsia="Times New Roman" w:hAnsi="Times New Roman"/>
          <w:b/>
          <w:bCs/>
          <w:color w:val="2E75B6"/>
          <w:sz w:val="18"/>
          <w:szCs w:val="18"/>
        </w:rPr>
        <w:t xml:space="preserve">[1] </w:t>
      </w:r>
      <w:r>
        <w:rPr>
          <w:rFonts w:ascii="Times New Roman" w:cs="Times New Roman" w:eastAsia="Times New Roman" w:hAnsi="Times New Roman"/>
          <w:color w:val="222222"/>
          <w:sz w:val="18"/>
          <w:szCs w:val="18"/>
        </w:rPr>
        <w:t xml:space="preserve">L. Cong et al., "Multiplex genome engineering using CRISPR/Cas systems," Science, vol. 339, no. 6121, pp. 819–823, 2013.</w:t>
      </w:r>
    </w:p>
    <w:p>
      <w:pPr>
        <w:spacing w:after="40" w:before="40"/>
        <w:ind w:left="360" w:hanging="360"/>
      </w:pPr>
      <w:r>
        <w:rPr>
          <w:rFonts w:ascii="Times New Roman" w:cs="Times New Roman" w:eastAsia="Times New Roman" w:hAnsi="Times New Roman"/>
          <w:b/>
          <w:bCs/>
          <w:color w:val="2E75B6"/>
          <w:sz w:val="18"/>
          <w:szCs w:val="18"/>
        </w:rPr>
        <w:t xml:space="preserve">[2] </w:t>
      </w:r>
      <w:r>
        <w:rPr>
          <w:rFonts w:ascii="Times New Roman" w:cs="Times New Roman" w:eastAsia="Times New Roman" w:hAnsi="Times New Roman"/>
          <w:color w:val="222222"/>
          <w:sz w:val="18"/>
          <w:szCs w:val="18"/>
        </w:rPr>
        <w:t xml:space="preserve">J. G. Doench et al., "Optimized sgRNA design to maximize activity and minimize off-target effects of CRISPR-Cas9," Nature Biotechnology, vol. 34, no. 2, pp. 184–191, 2016.</w:t>
      </w:r>
    </w:p>
    <w:p>
      <w:pPr>
        <w:spacing w:after="40" w:before="40"/>
        <w:ind w:left="360" w:hanging="360"/>
      </w:pPr>
      <w:r>
        <w:rPr>
          <w:rFonts w:ascii="Times New Roman" w:cs="Times New Roman" w:eastAsia="Times New Roman" w:hAnsi="Times New Roman"/>
          <w:b/>
          <w:bCs/>
          <w:color w:val="2E75B6"/>
          <w:sz w:val="18"/>
          <w:szCs w:val="18"/>
        </w:rPr>
        <w:t xml:space="preserve">[3] </w:t>
      </w:r>
      <w:r>
        <w:rPr>
          <w:rFonts w:ascii="Times New Roman" w:cs="Times New Roman" w:eastAsia="Times New Roman" w:hAnsi="Times New Roman"/>
          <w:color w:val="222222"/>
          <w:sz w:val="18"/>
          <w:szCs w:val="18"/>
        </w:rPr>
        <w:t xml:space="preserve">J. A. Doudna and E. Charpentier, "The new frontier of genome engineering with CRISPR-Cas9," Science, vol. 346, no. 6213, p. 1258096, 2014.</w:t>
      </w:r>
    </w:p>
    <w:p>
      <w:pPr>
        <w:spacing w:after="40" w:before="40"/>
        <w:ind w:left="360" w:hanging="360"/>
      </w:pPr>
      <w:r>
        <w:rPr>
          <w:rFonts w:ascii="Times New Roman" w:cs="Times New Roman" w:eastAsia="Times New Roman" w:hAnsi="Times New Roman"/>
          <w:b/>
          <w:bCs/>
          <w:color w:val="2E75B6"/>
          <w:sz w:val="18"/>
          <w:szCs w:val="18"/>
        </w:rPr>
        <w:t xml:space="preserve">[4] </w:t>
      </w:r>
      <w:r>
        <w:rPr>
          <w:rFonts w:ascii="Times New Roman" w:cs="Times New Roman" w:eastAsia="Times New Roman" w:hAnsi="Times New Roman"/>
          <w:color w:val="222222"/>
          <w:sz w:val="18"/>
          <w:szCs w:val="18"/>
        </w:rPr>
        <w:t xml:space="preserve">M. A. Ferraiuolo et al., "TSG101 at the crossroads of intracellular trafficking, signal transduction, and cancer," Oncogene, vol. 39, pp. 7559–7573, 2020.</w:t>
      </w:r>
    </w:p>
    <w:p>
      <w:pPr>
        <w:spacing w:after="40" w:before="40"/>
        <w:ind w:left="360" w:hanging="360"/>
      </w:pPr>
      <w:r>
        <w:rPr>
          <w:rFonts w:ascii="Times New Roman" w:cs="Times New Roman" w:eastAsia="Times New Roman" w:hAnsi="Times New Roman"/>
          <w:b/>
          <w:bCs/>
          <w:color w:val="2E75B6"/>
          <w:sz w:val="18"/>
          <w:szCs w:val="18"/>
        </w:rPr>
        <w:t xml:space="preserve">[5] </w:t>
      </w:r>
      <w:r>
        <w:rPr>
          <w:rFonts w:ascii="Times New Roman" w:cs="Times New Roman" w:eastAsia="Times New Roman" w:hAnsi="Times New Roman"/>
          <w:color w:val="222222"/>
          <w:sz w:val="18"/>
          <w:szCs w:val="18"/>
        </w:rPr>
        <w:t xml:space="preserve">C. Raiborg and H. Stenmark, "The ESCRT machinery in endosomal sorting of ubiquitylated membrane proteins," Nature, vol. 458, no. 7237, pp. 445–452, 2009.</w:t>
      </w:r>
    </w:p>
    <w:p>
      <w:pPr>
        <w:spacing w:after="40" w:before="40"/>
        <w:ind w:left="360" w:hanging="360"/>
      </w:pPr>
      <w:r>
        <w:rPr>
          <w:rFonts w:ascii="Times New Roman" w:cs="Times New Roman" w:eastAsia="Times New Roman" w:hAnsi="Times New Roman"/>
          <w:b/>
          <w:bCs/>
          <w:color w:val="2E75B6"/>
          <w:sz w:val="18"/>
          <w:szCs w:val="18"/>
        </w:rPr>
        <w:t xml:space="preserve">[6] </w:t>
      </w:r>
      <w:r>
        <w:rPr>
          <w:rFonts w:ascii="Times New Roman" w:cs="Times New Roman" w:eastAsia="Times New Roman" w:hAnsi="Times New Roman"/>
          <w:color w:val="222222"/>
          <w:sz w:val="18"/>
          <w:szCs w:val="18"/>
        </w:rPr>
        <w:t xml:space="preserve">Y. Shao et al., "TSG101: structure, function, and its role in cancer," Oncology Reports, vol. 34, no. 2, pp. 543–550, 2015.</w:t>
      </w:r>
    </w:p>
    <w:p>
      <w:pPr>
        <w:spacing w:after="40" w:before="40"/>
        <w:ind w:left="360" w:hanging="360"/>
      </w:pPr>
      <w:r>
        <w:rPr>
          <w:rFonts w:ascii="Times New Roman" w:cs="Times New Roman" w:eastAsia="Times New Roman" w:hAnsi="Times New Roman"/>
          <w:b/>
          <w:bCs/>
          <w:color w:val="2E75B6"/>
          <w:sz w:val="18"/>
          <w:szCs w:val="18"/>
        </w:rPr>
        <w:t xml:space="preserve">[7] </w:t>
      </w:r>
      <w:r>
        <w:rPr>
          <w:rFonts w:ascii="Times New Roman" w:cs="Times New Roman" w:eastAsia="Times New Roman" w:hAnsi="Times New Roman"/>
          <w:color w:val="222222"/>
          <w:sz w:val="18"/>
          <w:szCs w:val="18"/>
        </w:rPr>
        <w:t xml:space="preserve">M. Vietri, M. Radulovic and H. Stenmark, "The many functions of ESCRTs," Nature Reviews Molecular Cell Biology, vol. 21, no. 1, pp. 25–42, 2020.</w:t>
      </w:r>
    </w:p>
    <w:p>
      <w:pPr>
        <w:spacing w:after="40" w:before="40"/>
        <w:ind w:left="360" w:hanging="360"/>
      </w:pPr>
      <w:r>
        <w:rPr>
          <w:rFonts w:ascii="Times New Roman" w:cs="Times New Roman" w:eastAsia="Times New Roman" w:hAnsi="Times New Roman"/>
          <w:b/>
          <w:bCs/>
          <w:color w:val="2E75B6"/>
          <w:sz w:val="18"/>
          <w:szCs w:val="18"/>
        </w:rPr>
        <w:t xml:space="preserve">[8] </w:t>
      </w:r>
      <w:r>
        <w:rPr>
          <w:rFonts w:ascii="Times New Roman" w:cs="Times New Roman" w:eastAsia="Times New Roman" w:hAnsi="Times New Roman"/>
          <w:color w:val="222222"/>
          <w:sz w:val="18"/>
          <w:szCs w:val="18"/>
        </w:rPr>
        <w:t xml:space="preserve">Y. Li, Y. Zhang, F. Qiu and Z. Qiu, "Role of TSG101 in exosome biogenesis and cancer progression," Journal of Cell Biology, vol. 221, no. 3, pp. 1–15, 2022.</w:t>
      </w:r>
    </w:p>
    <w:p>
      <w:pPr>
        <w:spacing w:after="40" w:before="40"/>
        <w:ind w:left="360" w:hanging="360"/>
      </w:pPr>
      <w:r>
        <w:rPr>
          <w:rFonts w:ascii="Times New Roman" w:cs="Times New Roman" w:eastAsia="Times New Roman" w:hAnsi="Times New Roman"/>
          <w:b/>
          <w:bCs/>
          <w:color w:val="2E75B6"/>
          <w:sz w:val="18"/>
          <w:szCs w:val="18"/>
        </w:rPr>
        <w:t xml:space="preserve">[9] </w:t>
      </w:r>
      <w:r>
        <w:rPr>
          <w:rFonts w:ascii="Times New Roman" w:cs="Times New Roman" w:eastAsia="Times New Roman" w:hAnsi="Times New Roman"/>
          <w:color w:val="222222"/>
          <w:sz w:val="18"/>
          <w:szCs w:val="18"/>
        </w:rPr>
        <w:t xml:space="preserve">E. Morita et al., "Human ESCRT and ALIX proteins interact with proteins of the midbody and function in cytokinesis," The EMBO Journal, vol. 26, no. 19, pp. 4215–4227, 2007.</w:t>
      </w:r>
    </w:p>
    <w:p>
      <w:pPr>
        <w:spacing w:after="40" w:before="40"/>
        <w:ind w:left="360" w:hanging="360"/>
      </w:pPr>
      <w:r>
        <w:rPr>
          <w:rFonts w:ascii="Times New Roman" w:cs="Times New Roman" w:eastAsia="Times New Roman" w:hAnsi="Times New Roman"/>
          <w:b/>
          <w:bCs/>
          <w:color w:val="2E75B6"/>
          <w:sz w:val="18"/>
          <w:szCs w:val="18"/>
        </w:rPr>
        <w:t xml:space="preserve">[10] </w:t>
      </w:r>
      <w:r>
        <w:rPr>
          <w:rFonts w:ascii="Times New Roman" w:cs="Times New Roman" w:eastAsia="Times New Roman" w:hAnsi="Times New Roman"/>
          <w:color w:val="222222"/>
          <w:sz w:val="18"/>
          <w:szCs w:val="18"/>
        </w:rPr>
        <w:t xml:space="preserve">R. Barrangou and J. A. Doudna, "Applications of CRISPR technologies in research and beyond," Nature Biotechnology, vol. 34, no. 9, pp. 933–941, 2016.</w:t>
      </w:r>
    </w:p>
    <w:p>
      <w:pPr>
        <w:spacing w:after="40" w:before="40"/>
        <w:ind w:left="360" w:hanging="360"/>
      </w:pPr>
      <w:r>
        <w:rPr>
          <w:rFonts w:ascii="Times New Roman" w:cs="Times New Roman" w:eastAsia="Times New Roman" w:hAnsi="Times New Roman"/>
          <w:b/>
          <w:bCs/>
          <w:color w:val="2E75B6"/>
          <w:sz w:val="18"/>
          <w:szCs w:val="18"/>
        </w:rPr>
        <w:t xml:space="preserve">[11] </w:t>
      </w:r>
      <w:r>
        <w:rPr>
          <w:rFonts w:ascii="Times New Roman" w:cs="Times New Roman" w:eastAsia="Times New Roman" w:hAnsi="Times New Roman"/>
          <w:color w:val="222222"/>
          <w:sz w:val="18"/>
          <w:szCs w:val="18"/>
        </w:rPr>
        <w:t xml:space="preserve">J. H. Hurley, "ESCRTs are everywhere," The EMBO Journal, vol. 34, no. 19, pp. 2398–2407, 2015.</w:t>
      </w:r>
    </w:p>
    <w:p>
      <w:pPr>
        <w:spacing w:after="40" w:before="40"/>
        <w:ind w:left="360" w:hanging="360"/>
      </w:pPr>
      <w:r>
        <w:rPr>
          <w:rFonts w:ascii="Times New Roman" w:cs="Times New Roman" w:eastAsia="Times New Roman" w:hAnsi="Times New Roman"/>
          <w:b/>
          <w:bCs/>
          <w:color w:val="2E75B6"/>
          <w:sz w:val="18"/>
          <w:szCs w:val="18"/>
        </w:rPr>
        <w:t xml:space="preserve">[12] </w:t>
      </w:r>
      <w:r>
        <w:rPr>
          <w:rFonts w:ascii="Times New Roman" w:cs="Times New Roman" w:eastAsia="Times New Roman" w:hAnsi="Times New Roman"/>
          <w:color w:val="222222"/>
          <w:sz w:val="18"/>
          <w:szCs w:val="18"/>
        </w:rPr>
        <w:t xml:space="preserve">D. J. Katzmann, M. Babst and S. D. Emr, "Ubiquitin-dependent sorting into the multivesicular body pathway requires ESCRT-I," Cell, vol. 106, no. 2, pp. 145–155, 2001.</w:t>
      </w:r>
    </w:p>
    <w:p>
      <w:pPr>
        <w:spacing w:after="40" w:before="40"/>
        <w:ind w:left="360" w:hanging="360"/>
      </w:pPr>
      <w:r>
        <w:rPr>
          <w:rFonts w:ascii="Times New Roman" w:cs="Times New Roman" w:eastAsia="Times New Roman" w:hAnsi="Times New Roman"/>
          <w:b/>
          <w:bCs/>
          <w:color w:val="2E75B6"/>
          <w:sz w:val="18"/>
          <w:szCs w:val="18"/>
        </w:rPr>
        <w:t xml:space="preserve">[13] </w:t>
      </w:r>
      <w:r>
        <w:rPr>
          <w:rFonts w:ascii="Times New Roman" w:cs="Times New Roman" w:eastAsia="Times New Roman" w:hAnsi="Times New Roman"/>
          <w:color w:val="222222"/>
          <w:sz w:val="18"/>
          <w:szCs w:val="18"/>
        </w:rPr>
        <w:t xml:space="preserve">P. D. Hsu, E. S. Lander and F. Zhang, "Development and applications of CRISPR-Cas9 for genome engineering," Cell, vol. 157, no. 6, pp. 1262–1278, 2014.</w:t>
      </w:r>
    </w:p>
    <w:p>
      <w:pPr>
        <w:spacing w:after="40" w:before="40"/>
        <w:ind w:left="360" w:hanging="360"/>
      </w:pPr>
      <w:r>
        <w:rPr>
          <w:rFonts w:ascii="Times New Roman" w:cs="Times New Roman" w:eastAsia="Times New Roman" w:hAnsi="Times New Roman"/>
          <w:b/>
          <w:bCs/>
          <w:color w:val="2E75B6"/>
          <w:sz w:val="18"/>
          <w:szCs w:val="18"/>
        </w:rPr>
        <w:t xml:space="preserve">[14] </w:t>
      </w:r>
      <w:r>
        <w:rPr>
          <w:rFonts w:ascii="Times New Roman" w:cs="Times New Roman" w:eastAsia="Times New Roman" w:hAnsi="Times New Roman"/>
          <w:color w:val="222222"/>
          <w:sz w:val="18"/>
          <w:szCs w:val="18"/>
        </w:rPr>
        <w:t xml:space="preserve">H. Wang, M. La Russa and L. S. Qi, "CRISPR/Cas9 in genome editing and beyond," Annual Review of Biochemistry, vol. 85, pp. 227–264, 2016.</w:t>
      </w:r>
    </w:p>
    <w:p>
      <w:pPr>
        <w:spacing w:after="40" w:before="40"/>
        <w:ind w:left="360" w:hanging="360"/>
      </w:pPr>
      <w:r>
        <w:rPr>
          <w:rFonts w:ascii="Times New Roman" w:cs="Times New Roman" w:eastAsia="Times New Roman" w:hAnsi="Times New Roman"/>
          <w:b/>
          <w:bCs/>
          <w:color w:val="2E75B6"/>
          <w:sz w:val="18"/>
          <w:szCs w:val="18"/>
        </w:rPr>
        <w:t xml:space="preserve">[15] </w:t>
      </w:r>
      <w:r>
        <w:rPr>
          <w:rFonts w:ascii="Times New Roman" w:cs="Times New Roman" w:eastAsia="Times New Roman" w:hAnsi="Times New Roman"/>
          <w:color w:val="222222"/>
          <w:sz w:val="18"/>
          <w:szCs w:val="18"/>
        </w:rPr>
        <w:t xml:space="preserve">S. X. Alam et al., "ESCRT defects drive dysregulated exosome biogenesis in tumour microenvironment remodelling," Cell Reports, vol. 48, no. 2, p. 113742, 2024.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C" w:sz="4"/>
      </w:pBdr>
      <w:spacing w:after="0" w:before="60"/>
      <w:jc w:val="center"/>
    </w:pPr>
    <w:r>
      <w:rPr>
        <w:rFonts w:ascii="Arial" w:cs="Arial" w:eastAsia="Arial" w:hAnsi="Arial"/>
        <w:i/>
        <w:iCs/>
        <w:color w:val="555555"/>
        <w:sz w:val="16"/>
        <w:szCs w:val="16"/>
      </w:rPr>
      <w:t xml:space="preserve">© 2026 M. Muskan — BSc Hons Biomedical Science Dissertation</w:t>
    </w:r>
    <w:r>
      <w:rPr>
        <w:rFonts w:ascii="Arial" w:cs="Arial" w:eastAsia="Arial" w:hAnsi="Arial"/>
        <w:color w:val="555555"/>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C" w:sz="4"/>
      </w:pBdr>
      <w:spacing w:after="60" w:before="0"/>
    </w:pPr>
    <w:r>
      <w:rPr>
        <w:rFonts w:ascii="Arial" w:cs="Arial" w:eastAsia="Arial" w:hAnsi="Arial"/>
        <w:i/>
        <w:iCs/>
        <w:color w:val="2E75B6"/>
        <w:sz w:val="16"/>
        <w:szCs w:val="16"/>
      </w:rPr>
      <w:t xml:space="preserve">IEEE TRANSACTIONS ON BIOMEDICAL ENGINEERING  |  CRISPR-Cas9 / TSG101 / ESCRT Exosome Biogenesis</w:t>
    </w:r>
    <w:r>
      <w:rPr>
        <w:rFonts w:ascii="Arial" w:cs="Arial" w:eastAsia="Arial" w:hAnsi="Arial"/>
        <w:color w:val="555555"/>
        <w:sz w:val="16"/>
        <w:szCs w:val="16"/>
      </w:rPr>
      <w:t xml:space="preserve">  |  M. Muskan,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2026-05-29T08:54:34.140Z</dcterms:created>
  <dcterms:modified xsi:type="dcterms:W3CDTF">2026-05-29T08:54:34.140Z</dcterms:modified>
</cp:coreProperties>
</file>

<file path=docProps/custom.xml><?xml version="1.0" encoding="utf-8"?>
<Properties xmlns="http://schemas.openxmlformats.org/officeDocument/2006/custom-properties" xmlns:vt="http://schemas.openxmlformats.org/officeDocument/2006/docPropsVTypes"/>
</file>