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5E"/>
          <w:sz w:val="60"/>
        </w:rPr>
        <w:t>Prepreneurship</w:t>
      </w:r>
    </w:p>
    <w:p>
      <w:pPr>
        <w:jc w:val="center"/>
      </w:pPr>
      <w:r>
        <w:rPr>
          <w:color w:val="555F6B"/>
          <w:sz w:val="26"/>
        </w:rPr>
        <w:t>Learning Management System</w:t>
      </w:r>
    </w:p>
    <w:p/>
    <w:p>
      <w:pPr>
        <w:jc w:val="center"/>
      </w:pPr>
      <w:r>
        <w:rPr>
          <w:b/>
          <w:color w:val="C17D11"/>
          <w:sz w:val="48"/>
        </w:rPr>
        <w:t>Administrator Guide</w:t>
      </w:r>
    </w:p>
    <w:p>
      <w:pPr>
        <w:jc w:val="center"/>
      </w:pPr>
      <w:r>
        <w:rPr>
          <w:color w:val="555F6B"/>
          <w:sz w:val="24"/>
        </w:rPr>
        <w:t>Running the Institute day to day</w:t>
      </w:r>
    </w:p>
    <w:p/>
    <w:p/>
    <w:p/>
    <w:p/>
    <w:p/>
    <w:p/>
    <w:p>
      <w:pPr>
        <w:jc w:val="center"/>
      </w:pPr>
      <w:r>
        <w:rPr>
          <w:i/>
          <w:color w:val="555F6B"/>
          <w:sz w:val="20"/>
        </w:rPr>
        <w:t>For office and administrative staff</w:t>
      </w:r>
    </w:p>
    <w:p>
      <w:r>
        <w:br w:type="page"/>
      </w:r>
    </w:p>
    <w:p>
      <w:pPr>
        <w:pStyle w:val="Heading1"/>
      </w:pPr>
      <w:r>
        <w:t>What is in this guide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Section</w:t>
            </w:r>
          </w:p>
        </w:tc>
        <w:tc>
          <w:tcPr>
            <w:tcW w:type="dxa" w:w="4320"/>
          </w:tcPr>
          <w:p>
            <w:r/>
            <w:r>
              <w:rPr>
                <w:b/>
                <w:sz w:val="20"/>
              </w:rPr>
              <w:t>What it covers</w:t>
            </w:r>
          </w:p>
        </w:tc>
      </w:tr>
      <w:tr>
        <w:tc>
          <w:tcPr>
            <w:tcW w:type="dxa" w:w="4320"/>
          </w:tcPr>
          <w:p>
            <w:r/>
            <w:r>
              <w:rPr>
                <w:sz w:val="20"/>
              </w:rPr>
              <w:t>Getting started</w:t>
            </w:r>
          </w:p>
        </w:tc>
        <w:tc>
          <w:tcPr>
            <w:tcW w:type="dxa" w:w="4320"/>
          </w:tcPr>
          <w:p>
            <w:r/>
            <w:r>
              <w:rPr>
                <w:sz w:val="20"/>
              </w:rPr>
              <w:t>Signing in, and the shape of your role</w:t>
            </w:r>
          </w:p>
        </w:tc>
      </w:tr>
      <w:tr>
        <w:tc>
          <w:tcPr>
            <w:tcW w:type="dxa" w:w="4320"/>
          </w:tcPr>
          <w:p>
            <w:r/>
            <w:r>
              <w:rPr>
                <w:sz w:val="20"/>
              </w:rPr>
              <w:t>Admissions</w:t>
            </w:r>
          </w:p>
        </w:tc>
        <w:tc>
          <w:tcPr>
            <w:tcW w:type="dxa" w:w="4320"/>
          </w:tcPr>
          <w:p>
            <w:r/>
            <w:r>
              <w:rPr>
                <w:sz w:val="20"/>
              </w:rPr>
              <w:t>Turning an application into a student</w:t>
            </w:r>
          </w:p>
        </w:tc>
      </w:tr>
      <w:tr>
        <w:tc>
          <w:tcPr>
            <w:tcW w:type="dxa" w:w="4320"/>
          </w:tcPr>
          <w:p>
            <w:r/>
            <w:r>
              <w:rPr>
                <w:sz w:val="20"/>
              </w:rPr>
              <w:t>People</w:t>
            </w:r>
          </w:p>
        </w:tc>
        <w:tc>
          <w:tcPr>
            <w:tcW w:type="dxa" w:w="4320"/>
          </w:tcPr>
          <w:p>
            <w:r/>
            <w:r>
              <w:rPr>
                <w:sz w:val="20"/>
              </w:rPr>
              <w:t>Accounts, roles and suspensions</w:t>
            </w:r>
          </w:p>
        </w:tc>
      </w:tr>
      <w:tr>
        <w:tc>
          <w:tcPr>
            <w:tcW w:type="dxa" w:w="4320"/>
          </w:tcPr>
          <w:p>
            <w:r/>
            <w:r>
              <w:rPr>
                <w:sz w:val="20"/>
              </w:rPr>
              <w:t>Courses &amp; fees</w:t>
            </w:r>
          </w:p>
        </w:tc>
        <w:tc>
          <w:tcPr>
            <w:tcW w:type="dxa" w:w="4320"/>
          </w:tcPr>
          <w:p>
            <w:r/>
            <w:r>
              <w:rPr>
                <w:sz w:val="20"/>
              </w:rPr>
              <w:t>What is taught and what it costs</w:t>
            </w:r>
          </w:p>
        </w:tc>
      </w:tr>
      <w:tr>
        <w:tc>
          <w:tcPr>
            <w:tcW w:type="dxa" w:w="4320"/>
          </w:tcPr>
          <w:p>
            <w:r/>
            <w:r>
              <w:rPr>
                <w:sz w:val="20"/>
              </w:rPr>
              <w:t>Sections &amp; structure</w:t>
            </w:r>
          </w:p>
        </w:tc>
        <w:tc>
          <w:tcPr>
            <w:tcW w:type="dxa" w:w="4320"/>
          </w:tcPr>
          <w:p>
            <w:r/>
            <w:r>
              <w:rPr>
                <w:sz w:val="20"/>
              </w:rPr>
              <w:t>Classes, terms and intakes</w:t>
            </w:r>
          </w:p>
        </w:tc>
      </w:tr>
      <w:tr>
        <w:tc>
          <w:tcPr>
            <w:tcW w:type="dxa" w:w="4320"/>
          </w:tcPr>
          <w:p>
            <w:r/>
            <w:r>
              <w:rPr>
                <w:sz w:val="20"/>
              </w:rPr>
              <w:t>Online classes</w:t>
            </w:r>
          </w:p>
        </w:tc>
        <w:tc>
          <w:tcPr>
            <w:tcW w:type="dxa" w:w="4320"/>
          </w:tcPr>
          <w:p>
            <w:r/>
            <w:r>
              <w:rPr>
                <w:sz w:val="20"/>
              </w:rPr>
              <w:t>The meeting link a class joins every week</w:t>
            </w:r>
          </w:p>
        </w:tc>
      </w:tr>
      <w:tr>
        <w:tc>
          <w:tcPr>
            <w:tcW w:type="dxa" w:w="4320"/>
          </w:tcPr>
          <w:p>
            <w:r/>
            <w:r>
              <w:rPr>
                <w:sz w:val="20"/>
              </w:rPr>
              <w:t>Fees &amp; payments</w:t>
            </w:r>
          </w:p>
        </w:tc>
        <w:tc>
          <w:tcPr>
            <w:tcW w:type="dxa" w:w="4320"/>
          </w:tcPr>
          <w:p>
            <w:r/>
            <w:r>
              <w:rPr>
                <w:sz w:val="20"/>
              </w:rPr>
              <w:t>Charges, confirming payments, receipts</w:t>
            </w:r>
          </w:p>
        </w:tc>
      </w:tr>
      <w:tr>
        <w:tc>
          <w:tcPr>
            <w:tcW w:type="dxa" w:w="4320"/>
          </w:tcPr>
          <w:p>
            <w:r/>
            <w:r>
              <w:rPr>
                <w:sz w:val="20"/>
              </w:rPr>
              <w:t>Certificates</w:t>
            </w:r>
          </w:p>
        </w:tc>
        <w:tc>
          <w:tcPr>
            <w:tcW w:type="dxa" w:w="4320"/>
          </w:tcPr>
          <w:p>
            <w:r/>
            <w:r>
              <w:rPr>
                <w:sz w:val="20"/>
              </w:rPr>
              <w:t>Issuing, verifying, revoking</w:t>
            </w:r>
          </w:p>
        </w:tc>
      </w:tr>
      <w:tr>
        <w:tc>
          <w:tcPr>
            <w:tcW w:type="dxa" w:w="4320"/>
          </w:tcPr>
          <w:p>
            <w:r/>
            <w:r>
              <w:rPr>
                <w:sz w:val="20"/>
              </w:rPr>
              <w:t>Announcements</w:t>
            </w:r>
          </w:p>
        </w:tc>
        <w:tc>
          <w:tcPr>
            <w:tcW w:type="dxa" w:w="4320"/>
          </w:tcPr>
          <w:p>
            <w:r/>
            <w:r>
              <w:rPr>
                <w:sz w:val="20"/>
              </w:rPr>
              <w:t>Who a notice reaches, including the public page</w:t>
            </w:r>
          </w:p>
        </w:tc>
      </w:tr>
      <w:tr>
        <w:tc>
          <w:tcPr>
            <w:tcW w:type="dxa" w:w="4320"/>
          </w:tcPr>
          <w:p>
            <w:r/>
            <w:r>
              <w:rPr>
                <w:sz w:val="20"/>
              </w:rPr>
              <w:t>The public page</w:t>
            </w:r>
          </w:p>
        </w:tc>
        <w:tc>
          <w:tcPr>
            <w:tcW w:type="dxa" w:w="4320"/>
          </w:tcPr>
          <w:p>
            <w:r/>
            <w:r>
              <w:rPr>
                <w:sz w:val="20"/>
              </w:rPr>
              <w:t>Editing what visitors see</w:t>
            </w:r>
          </w:p>
        </w:tc>
      </w:tr>
      <w:tr>
        <w:tc>
          <w:tcPr>
            <w:tcW w:type="dxa" w:w="4320"/>
          </w:tcPr>
          <w:p>
            <w:r/>
            <w:r>
              <w:rPr>
                <w:sz w:val="20"/>
              </w:rPr>
              <w:t>Import &amp; bulk changes</w:t>
            </w:r>
          </w:p>
        </w:tc>
        <w:tc>
          <w:tcPr>
            <w:tcW w:type="dxa" w:w="4320"/>
          </w:tcPr>
          <w:p>
            <w:r/>
            <w:r>
              <w:rPr>
                <w:sz w:val="20"/>
              </w:rPr>
              <w:t>Many records at once</w:t>
            </w:r>
          </w:p>
        </w:tc>
      </w:tr>
      <w:tr>
        <w:tc>
          <w:tcPr>
            <w:tcW w:type="dxa" w:w="4320"/>
          </w:tcPr>
          <w:p>
            <w:r/>
            <w:r>
              <w:rPr>
                <w:sz w:val="20"/>
              </w:rPr>
              <w:t>Reports &amp; audit</w:t>
            </w:r>
          </w:p>
        </w:tc>
        <w:tc>
          <w:tcPr>
            <w:tcW w:type="dxa" w:w="4320"/>
          </w:tcPr>
          <w:p>
            <w:r/>
            <w:r>
              <w:rPr>
                <w:sz w:val="20"/>
              </w:rPr>
              <w:t>Numbers, and who changed what</w:t>
            </w:r>
          </w:p>
        </w:tc>
      </w:tr>
      <w:tr>
        <w:tc>
          <w:tcPr>
            <w:tcW w:type="dxa" w:w="4320"/>
          </w:tcPr>
          <w:p>
            <w:r/>
            <w:r>
              <w:rPr>
                <w:sz w:val="20"/>
              </w:rPr>
              <w:t>What only a Super Admin can do</w:t>
            </w:r>
          </w:p>
        </w:tc>
        <w:tc>
          <w:tcPr>
            <w:tcW w:type="dxa" w:w="4320"/>
          </w:tcPr>
          <w:p>
            <w:r/>
            <w:r>
              <w:rPr>
                <w:sz w:val="20"/>
              </w:rPr>
              <w:t>Where your role stops</w:t>
            </w:r>
          </w:p>
        </w:tc>
      </w:tr>
    </w:tbl>
    <w:p/>
    <w:p>
      <w:r>
        <w:br w:type="page"/>
      </w:r>
    </w:p>
    <w:p>
      <w:pPr>
        <w:pStyle w:val="Heading1"/>
      </w:pPr>
      <w:r>
        <w:t>Getting started</w:t>
      </w:r>
    </w:p>
    <w:p>
      <w:pPr>
        <w:pStyle w:val="Heading2"/>
      </w:pPr>
      <w:r>
        <w:t>Signing in</w:t>
      </w:r>
    </w:p>
    <w:p>
      <w:pPr>
        <w:pStyle w:val="ListNumber"/>
      </w:pPr>
      <w:r>
        <w:t>Open the address the Institute gave you in any web browser.</w:t>
      </w:r>
    </w:p>
    <w:p>
      <w:pPr>
        <w:pStyle w:val="ListNumber"/>
      </w:pPr>
      <w:r>
        <w:t>Enter your email address and password, then choose Sign in.</w:t>
      </w:r>
    </w:p>
    <w:p>
      <w:pPr>
        <w:pStyle w:val="ListNumber"/>
      </w:pPr>
      <w:r>
        <w:t>The first time you sign in you will be asked to set your own password. Choose something only you know — the one you were given has been seen by the office.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If you cannot sign in:  </w:t>
            </w:r>
            <w:r>
              <w:rPr>
                <w:sz w:val="20"/>
              </w:rPr>
              <w:t>Three wrong passwords in a row locks the account for a short while. It unlocks by itself; you do not need to do anything. If you have forgotten your password, ask the office to reset it — another administrator can reset it for you.</w:t>
            </w:r>
          </w:p>
        </w:tc>
      </w:tr>
    </w:tbl>
    <w:p/>
    <w:p>
      <w:pPr>
        <w:pStyle w:val="Heading2"/>
      </w:pPr>
      <w:r>
        <w:t>Finding your way around</w:t>
      </w:r>
    </w:p>
    <w:p>
      <w:r>
        <w:rPr>
          <w:b w:val="0"/>
          <w:i w:val="0"/>
        </w:rPr>
        <w:t>Everything is reached from the list down the left-hand side. On a phone, tap the menu button at the top to open it.</w:t>
      </w:r>
    </w:p>
    <w:p>
      <w:pPr>
        <w:pStyle w:val="ListBullet"/>
      </w:pPr>
      <w:r>
        <w:t>Press Ctrl and K together to search for any screen by name.</w:t>
      </w:r>
    </w:p>
    <w:p>
      <w:pPr>
        <w:pStyle w:val="ListBullet"/>
      </w:pPr>
      <w:r>
        <w:t>The bell at the top right shows anything new addressed to you.</w:t>
      </w:r>
    </w:p>
    <w:p>
      <w:pPr>
        <w:pStyle w:val="ListBullet"/>
      </w:pPr>
      <w:r>
        <w:t>Your name at the bottom left is where you change your password or sign out.</w:t>
      </w:r>
    </w:p>
    <w:p>
      <w:pPr>
        <w:pStyle w:val="Heading2"/>
      </w:pPr>
      <w:r>
        <w:t>The blue panel at the top of each screen</w:t>
      </w:r>
    </w:p>
    <w:p>
      <w:r>
        <w:rPr>
          <w:b w:val="0"/>
          <w:i w:val="0"/>
        </w:rPr>
        <w:t>Most screens open with a short panel explaining what the screen is for, in four numbered steps, with the one thing people commonly get wrong underneath. Choose Hide once you no longer need it and it collapses to a single line — it stays there, so you can open it again months later.</w:t>
      </w:r>
    </w:p>
    <w:p>
      <w:r>
        <w:br w:type="page"/>
      </w:r>
    </w:p>
    <w:p>
      <w:pPr>
        <w:pStyle w:val="Heading1"/>
      </w:pPr>
      <w:r>
        <w:t>The shape of your role</w:t>
      </w:r>
    </w:p>
    <w:p>
      <w:r>
        <w:rPr>
          <w:b w:val="0"/>
          <w:i w:val="0"/>
        </w:rPr>
        <w:t>You can see and change almost everything about students, courses and money. Two things you cannot do, and both are deliberate:</w:t>
      </w:r>
    </w:p>
    <w:p>
      <w:pPr>
        <w:pStyle w:val="ListBullet"/>
      </w:pPr>
      <w:r>
        <w:t>You can READ institute policy on the Settings screen but not change it. Those values decide when a student is warned and what a certificate requires — changing them is a governance decision, reserved to a Super Admin.</w:t>
      </w:r>
    </w:p>
    <w:p>
      <w:pPr>
        <w:pStyle w:val="ListBullet"/>
      </w:pPr>
      <w:r>
        <w:t>You cannot read the security log, restore a backup, or grant roles at the highest level.</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Anything touching money asks again:  </w:t>
            </w:r>
            <w:r>
              <w:rPr>
                <w:sz w:val="20"/>
              </w:rPr>
              <w:t>Opening the fee ledger or recording a payment asks you to confirm your password, even though you are already signed in. That is deliberate — it means an unattended screen cannot be used to move money.</w:t>
            </w:r>
          </w:p>
        </w:tc>
      </w:tr>
    </w:tbl>
    <w:p/>
    <w:p>
      <w:pPr>
        <w:pStyle w:val="Heading1"/>
      </w:pPr>
      <w:r>
        <w:t>Your screens, one by one</w:t>
      </w:r>
    </w:p>
    <w:p>
      <w:pPr>
        <w:pStyle w:val="Heading2"/>
      </w:pPr>
      <w:r>
        <w:t>Admissions</w:t>
      </w:r>
    </w:p>
    <w:p>
      <w:r>
        <w:rPr>
          <w:b w:val="0"/>
          <w:i w:val="0"/>
        </w:rPr>
        <w:t>Everything people have applied for, newest first. Each is a decision waiting to be made. Approving creates the student, their registration number and their sign-in, all at once.</w:t>
      </w:r>
    </w:p>
    <w:p>
      <w:pPr>
        <w:pStyle w:val="Heading3"/>
      </w:pPr>
      <w:r>
        <w:t>How to use it</w:t>
      </w:r>
    </w:p>
    <w:p>
      <w:pPr>
        <w:pStyle w:val="ListNumber"/>
      </w:pPr>
      <w:r>
        <w:t>Open the application and read it: their details, the course, and the payment slip.</w:t>
      </w:r>
    </w:p>
    <w:p>
      <w:pPr>
        <w:pStyle w:val="ListNumber"/>
      </w:pPr>
      <w:r>
        <w:t>Check the slip — does the amount match the fee, and is the name the same? This is the step that catches most mistakes.</w:t>
      </w:r>
    </w:p>
    <w:p>
      <w:pPr>
        <w:pStyle w:val="ListNumber"/>
      </w:pPr>
      <w:r>
        <w:t>Approve, decline, or ask for more information.</w:t>
      </w:r>
    </w:p>
    <w:p>
      <w:pPr>
        <w:pStyle w:val="ListNumber"/>
      </w:pPr>
      <w:r>
        <w:t>They are told either way. An approval sends their sign-in details; a rejection says why.</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If something is merely missing, ask for it rather than declining. 'Needs more information' keeps their place in the queue; declining makes them start over.</w:t>
            </w:r>
          </w:p>
        </w:tc>
      </w:tr>
    </w:tbl>
    <w:p/>
    <w:p>
      <w:pPr>
        <w:pStyle w:val="Heading2"/>
      </w:pPr>
      <w:r>
        <w:t>People</w:t>
      </w:r>
    </w:p>
    <w:p>
      <w:r>
        <w:rPr>
          <w:b w:val="0"/>
          <w:i w:val="0"/>
        </w:rPr>
        <w:t>Everybody with a sign-in, and what each is allowed to reach.</w:t>
      </w:r>
    </w:p>
    <w:p>
      <w:pPr>
        <w:pStyle w:val="Heading3"/>
      </w:pPr>
      <w:r>
        <w:t>How to use it</w:t>
      </w:r>
    </w:p>
    <w:p>
      <w:pPr>
        <w:pStyle w:val="ListNumber"/>
      </w:pPr>
      <w:r>
        <w:t>Search by name or email.</w:t>
      </w:r>
    </w:p>
    <w:p>
      <w:pPr>
        <w:pStyle w:val="ListNumber"/>
      </w:pPr>
      <w:r>
        <w:t>Give a role. The role decides what they see.</w:t>
      </w:r>
    </w:p>
    <w:p>
      <w:pPr>
        <w:pStyle w:val="ListNumber"/>
      </w:pPr>
      <w:r>
        <w:t>Suspend rather than delete when somebody leaves — suspending stops them signing in without destroying anything they did.</w:t>
      </w:r>
    </w:p>
    <w:p>
      <w:pPr>
        <w:pStyle w:val="ListNumber"/>
      </w:pPr>
      <w:r>
        <w:t>Every change is recorded with your name.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Give the narrowest role that lets somebody do their job. Widening it later takes a moment; explaining why a part-time tutor could read the fee ledger does not.</w:t>
            </w:r>
          </w:p>
        </w:tc>
      </w:tr>
    </w:tbl>
    <w:p/>
    <w:p>
      <w:pPr>
        <w:pStyle w:val="Heading2"/>
      </w:pPr>
      <w:r>
        <w:t>Courses &amp; fees</w:t>
      </w:r>
    </w:p>
    <w:p>
      <w:r>
        <w:rPr>
          <w:b w:val="0"/>
          <w:i w:val="0"/>
        </w:rPr>
        <w:t>What the Institute teaches and what it costs. This is where the public page gets its list from.</w:t>
      </w:r>
    </w:p>
    <w:p>
      <w:pPr>
        <w:pStyle w:val="Heading3"/>
      </w:pPr>
      <w:r>
        <w:t>How to use it</w:t>
      </w:r>
    </w:p>
    <w:p>
      <w:pPr>
        <w:pStyle w:val="ListNumber"/>
      </w:pPr>
      <w:r>
        <w:t>Create the course: name, code, and how long it runs.</w:t>
      </w:r>
    </w:p>
    <w:p>
      <w:pPr>
        <w:pStyle w:val="ListNumber"/>
      </w:pPr>
      <w:r>
        <w:t>Add its subjects — the parts it is taught in.</w:t>
      </w:r>
    </w:p>
    <w:p>
      <w:pPr>
        <w:pStyle w:val="ListNumber"/>
      </w:pPr>
      <w:r>
        <w:t>Set the fee: the full price, and the instalments if you allow them.</w:t>
      </w:r>
    </w:p>
    <w:p>
      <w:pPr>
        <w:pStyle w:val="ListNumber"/>
      </w:pPr>
      <w:r>
        <w:t>Publish the price. Until you do, nobody is quoted anything.</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The instalment lines have to add up to the total. The running total under each block tells you where you are, so you are not re-adding twelve numbers on the day you publish.</w:t>
            </w:r>
          </w:p>
        </w:tc>
      </w:tr>
    </w:tbl>
    <w:p/>
    <w:p>
      <w:pPr>
        <w:pStyle w:val="Heading2"/>
      </w:pPr>
      <w:r>
        <w:t>Sections and Structure</w:t>
      </w:r>
    </w:p>
    <w:p>
      <w:r>
        <w:rPr>
          <w:b w:val="0"/>
          <w:i w:val="0"/>
        </w:rPr>
        <w:t>A section is one group taught together — a class. Structure is the calendar the whole Institute runs on: terms and intakes.</w:t>
      </w:r>
    </w:p>
    <w:p>
      <w:pPr>
        <w:pStyle w:val="Heading3"/>
      </w:pPr>
      <w:r>
        <w:t>How to use it</w:t>
      </w:r>
    </w:p>
    <w:p>
      <w:pPr>
        <w:pStyle w:val="ListNumber"/>
      </w:pPr>
      <w:r>
        <w:t>In Structure, create the term and its intakes, with the dates.</w:t>
      </w:r>
    </w:p>
    <w:p>
      <w:pPr>
        <w:pStyle w:val="ListNumber"/>
      </w:pPr>
      <w:r>
        <w:t>In Sections, create the class: its course, its name, its shift and its term.</w:t>
      </w:r>
    </w:p>
    <w:p>
      <w:pPr>
        <w:pStyle w:val="ListNumber"/>
      </w:pPr>
      <w:r>
        <w:t>Assign a teacher.</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 section with no teacher is invisible to every teacher, so nobody takes the register. It is the single most common thing to forget.</w:t>
            </w:r>
          </w:p>
        </w:tc>
      </w:tr>
    </w:tbl>
    <w:p/>
    <w:p>
      <w:pPr>
        <w:pStyle w:val="Heading2"/>
      </w:pPr>
      <w:r>
        <w:t>The meeting link for an online class</w:t>
      </w:r>
    </w:p>
    <w:p>
      <w:r>
        <w:rPr>
          <w:b w:val="0"/>
          <w:i w:val="0"/>
        </w:rPr>
        <w:t>Where a class is taught online, the subject inside the section carries the link to its meeting room — one link, used every week. Teachers set their own; you can set any, which matters when a teacher is away or a class is covered.</w:t>
      </w:r>
    </w:p>
    <w:p>
      <w:pPr>
        <w:pStyle w:val="Heading3"/>
      </w:pPr>
      <w:r>
        <w:t>How to use it</w:t>
      </w:r>
    </w:p>
    <w:p>
      <w:pPr>
        <w:pStyle w:val="ListNumber"/>
      </w:pPr>
      <w:r>
        <w:t>Open the section and choose the subject within it. The link belongs to the subject inside the class, not to the course — two sections of the same course meet in two different rooms.</w:t>
      </w:r>
    </w:p>
    <w:p>
      <w:pPr>
        <w:pStyle w:val="ListNumber"/>
      </w:pPr>
      <w:r>
        <w:t>Paste the whole address, including the https:// at the front.</w:t>
      </w:r>
    </w:p>
    <w:p>
      <w:pPr>
        <w:pStyle w:val="ListNumber"/>
      </w:pPr>
      <w:r>
        <w:t>Add a note if students need one: a passcode, or when to join.</w:t>
      </w:r>
    </w:p>
    <w:p>
      <w:pPr>
        <w:pStyle w:val="ListNumber"/>
      </w:pPr>
      <w:r>
        <w:t>Clear the box to remove it.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It must begin with https:// and is refused otherwise. Set it once and it can be changed at any point in the term — you do not have to have it ready before the course opens.</w:t>
            </w:r>
          </w:p>
        </w:tc>
      </w:tr>
    </w:tbl>
    <w:p/>
    <w:p>
      <w:pPr>
        <w:pStyle w:val="Heading2"/>
      </w:pPr>
      <w:r>
        <w:t>Fees and payments</w:t>
      </w:r>
    </w:p>
    <w:p>
      <w:r>
        <w:rPr>
          <w:b w:val="0"/>
          <w:i w:val="0"/>
        </w:rPr>
        <w:t>What every student owes, what they have paid, and the receipts.</w:t>
      </w:r>
    </w:p>
    <w:p>
      <w:pPr>
        <w:pStyle w:val="Heading3"/>
      </w:pPr>
      <w:r>
        <w:t>How to use it</w:t>
      </w:r>
    </w:p>
    <w:p>
      <w:pPr>
        <w:pStyle w:val="ListNumber"/>
      </w:pPr>
      <w:r>
        <w:t>Charges are raised from the published fee when a student enrols.</w:t>
      </w:r>
    </w:p>
    <w:p>
      <w:pPr>
        <w:pStyle w:val="ListNumber"/>
      </w:pPr>
      <w:r>
        <w:t>A student can tell you they have paid and attach a slip; it appears on Payment verification.</w:t>
      </w:r>
    </w:p>
    <w:p>
      <w:pPr>
        <w:pStyle w:val="ListNumber"/>
      </w:pPr>
      <w:r>
        <w:t>Check it against the bank, then confirm or reject it.</w:t>
      </w:r>
    </w:p>
    <w:p>
      <w:pPr>
        <w:pStyle w:val="ListNumber"/>
      </w:pPr>
      <w:r>
        <w:t>Confirming reduces their balance and issues a receipt.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 payment a student has told you about is not a payment. Only confirming it reduces what they owe. If you confirm without checking the bank, the ledger is wrong and the student has a receipt saying otherwise.</w:t>
            </w:r>
          </w:p>
        </w:tc>
      </w:tr>
    </w:tbl>
    <w:p/>
    <w:p>
      <w:pPr>
        <w:pStyle w:val="Heading2"/>
      </w:pPr>
      <w:r>
        <w:t>Certificates</w:t>
      </w:r>
    </w:p>
    <w:p>
      <w:r>
        <w:rPr>
          <w:b w:val="0"/>
          <w:i w:val="0"/>
        </w:rPr>
        <w:t>A certificate is a public claim by the Institute, so it is issued only when the requirements are genuinely met.</w:t>
      </w:r>
    </w:p>
    <w:p>
      <w:pPr>
        <w:pStyle w:val="Heading3"/>
      </w:pPr>
      <w:r>
        <w:t>How to use it</w:t>
      </w:r>
    </w:p>
    <w:p>
      <w:pPr>
        <w:pStyle w:val="ListNumber"/>
      </w:pPr>
      <w:r>
        <w:t>Check the student qualifies — the System tells you if attendance, work or marks are short.</w:t>
      </w:r>
    </w:p>
    <w:p>
      <w:pPr>
        <w:pStyle w:val="ListNumber"/>
      </w:pPr>
      <w:r>
        <w:t>Issue it. It gets a number of its own, printed on the document.</w:t>
      </w:r>
    </w:p>
    <w:p>
      <w:pPr>
        <w:pStyle w:val="ListNumber"/>
      </w:pPr>
      <w:r>
        <w:t>Anybody can verify that number on the public page without an account.</w:t>
      </w:r>
    </w:p>
    <w:p>
      <w:pPr>
        <w:pStyle w:val="ListNumber"/>
      </w:pPr>
      <w:r>
        <w:t>Revoke only if you must; a revoked certificate stays on record and reads as revoked.</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What the certificate says is copied onto it at the moment you issue it. Renaming a course next year does not rewrite a certificate already in somebody's hands.</w:t>
            </w:r>
          </w:p>
        </w:tc>
      </w:tr>
    </w:tbl>
    <w:p/>
    <w:p>
      <w:pPr>
        <w:pStyle w:val="Heading2"/>
      </w:pPr>
      <w:r>
        <w:t>Announcements</w:t>
      </w:r>
    </w:p>
    <w:p>
      <w:r>
        <w:rPr>
          <w:b w:val="0"/>
          <w:i w:val="0"/>
        </w:rPr>
        <w:t>Notices, and who they reach. There are six audiences and the difference matters.</w:t>
      </w:r>
    </w:p>
    <w:p>
      <w:pPr>
        <w:pStyle w:val="Heading3"/>
      </w:pPr>
      <w:r>
        <w:t>How to use it</w:t>
      </w:r>
    </w:p>
    <w:p>
      <w:pPr>
        <w:pStyle w:val="ListNumber"/>
      </w:pPr>
      <w:r>
        <w:t>Choose the audience — the line under the box says exactly who will see it.</w:t>
      </w:r>
    </w:p>
    <w:p>
      <w:pPr>
        <w:pStyle w:val="ListNumber"/>
      </w:pPr>
      <w:r>
        <w:t>Write a clear title. Many people read only that.</w:t>
      </w:r>
    </w:p>
    <w:p>
      <w:pPr>
        <w:pStyle w:val="ListNumber"/>
      </w:pPr>
      <w:r>
        <w:t>Set an expiry for anything about an event.</w:t>
      </w:r>
    </w:p>
    <w:p>
      <w:pPr>
        <w:pStyle w:val="ListNumber"/>
      </w:pPr>
      <w:r>
        <w:t>Post it.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Audience</w:t>
            </w:r>
          </w:p>
        </w:tc>
        <w:tc>
          <w:tcPr>
            <w:tcW w:type="dxa" w:w="4320"/>
          </w:tcPr>
          <w:p>
            <w:r/>
            <w:r>
              <w:rPr>
                <w:b/>
                <w:sz w:val="20"/>
              </w:rPr>
              <w:t>Who sees it</w:t>
            </w:r>
          </w:p>
        </w:tc>
      </w:tr>
      <w:tr>
        <w:tc>
          <w:tcPr>
            <w:tcW w:type="dxa" w:w="4320"/>
          </w:tcPr>
          <w:p>
            <w:r/>
            <w:r>
              <w:rPr>
                <w:sz w:val="20"/>
              </w:rPr>
              <w:t>One of my subjects</w:t>
            </w:r>
          </w:p>
        </w:tc>
        <w:tc>
          <w:tcPr>
            <w:tcW w:type="dxa" w:w="4320"/>
          </w:tcPr>
          <w:p>
            <w:r/>
            <w:r>
              <w:rPr>
                <w:sz w:val="20"/>
              </w:rPr>
              <w:t>The students in that subject, and its teacher</w:t>
            </w:r>
          </w:p>
        </w:tc>
      </w:tr>
      <w:tr>
        <w:tc>
          <w:tcPr>
            <w:tcW w:type="dxa" w:w="4320"/>
          </w:tcPr>
          <w:p>
            <w:r/>
            <w:r>
              <w:rPr>
                <w:sz w:val="20"/>
              </w:rPr>
              <w:t>Everyone at the Institute</w:t>
            </w:r>
          </w:p>
        </w:tc>
        <w:tc>
          <w:tcPr>
            <w:tcW w:type="dxa" w:w="4320"/>
          </w:tcPr>
          <w:p>
            <w:r/>
            <w:r>
              <w:rPr>
                <w:sz w:val="20"/>
              </w:rPr>
              <w:t>Everybody with an account — students and staff</w:t>
            </w:r>
          </w:p>
        </w:tc>
      </w:tr>
      <w:tr>
        <w:tc>
          <w:tcPr>
            <w:tcW w:type="dxa" w:w="4320"/>
          </w:tcPr>
          <w:p>
            <w:r/>
            <w:r>
              <w:rPr>
                <w:sz w:val="20"/>
              </w:rPr>
              <w:t>Teachers only</w:t>
            </w:r>
          </w:p>
        </w:tc>
        <w:tc>
          <w:tcPr>
            <w:tcW w:type="dxa" w:w="4320"/>
          </w:tcPr>
          <w:p>
            <w:r/>
            <w:r>
              <w:rPr>
                <w:sz w:val="20"/>
              </w:rPr>
              <w:t>Teaching staff. Students never see it</w:t>
            </w:r>
          </w:p>
        </w:tc>
      </w:tr>
      <w:tr>
        <w:tc>
          <w:tcPr>
            <w:tcW w:type="dxa" w:w="4320"/>
          </w:tcPr>
          <w:p>
            <w:r/>
            <w:r>
              <w:rPr>
                <w:sz w:val="20"/>
              </w:rPr>
              <w:t>All staff</w:t>
            </w:r>
          </w:p>
        </w:tc>
        <w:tc>
          <w:tcPr>
            <w:tcW w:type="dxa" w:w="4320"/>
          </w:tcPr>
          <w:p>
            <w:r/>
            <w:r>
              <w:rPr>
                <w:sz w:val="20"/>
              </w:rPr>
              <w:t>Teachers and the office. Students never see it</w:t>
            </w:r>
          </w:p>
        </w:tc>
      </w:tr>
      <w:tr>
        <w:tc>
          <w:tcPr>
            <w:tcW w:type="dxa" w:w="4320"/>
          </w:tcPr>
          <w:p>
            <w:r/>
            <w:r>
              <w:rPr>
                <w:sz w:val="20"/>
              </w:rPr>
              <w:t>The public page only</w:t>
            </w:r>
          </w:p>
        </w:tc>
        <w:tc>
          <w:tcPr>
            <w:tcW w:type="dxa" w:w="4320"/>
          </w:tcPr>
          <w:p>
            <w:r/>
            <w:r>
              <w:rPr>
                <w:sz w:val="20"/>
              </w:rPr>
              <w:t>Visitors on the website, and NOBODY with an account</w:t>
            </w:r>
          </w:p>
        </w:tc>
      </w:tr>
    </w:tbl>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The one worth re-reading:  </w:t>
            </w:r>
            <w:r>
              <w:rPr>
                <w:sz w:val="20"/>
              </w:rPr>
              <w:t>'The public page only' reaches no inbox at all. It is for an open day or an admissions deadline — people who have not applied yet. 'Everyone at the Institute' with the public box ticked reaches both, which puts an advertisement in front of students already enrolled.</w:t>
            </w:r>
          </w:p>
        </w:tc>
      </w:tr>
    </w:tbl>
    <w:p/>
    <w:p>
      <w:pPr>
        <w:pStyle w:val="Heading2"/>
      </w:pPr>
      <w:r>
        <w:t>The public page</w:t>
      </w:r>
    </w:p>
    <w:p>
      <w:r>
        <w:rPr>
          <w:b w:val="0"/>
          <w:i w:val="0"/>
        </w:rPr>
        <w:t>What a visitor sees before they have an account: the headline, the videos, the photographs, the claims and the closing band. All of it editable, live the moment you save.</w:t>
      </w:r>
    </w:p>
    <w:p>
      <w:pPr>
        <w:pStyle w:val="Heading3"/>
      </w:pPr>
      <w:r>
        <w:t>How to use it</w:t>
      </w:r>
    </w:p>
    <w:p>
      <w:pPr>
        <w:pStyle w:val="ListNumber"/>
      </w:pPr>
      <w:r>
        <w:t>Open Public page and work down the numbered sections.</w:t>
      </w:r>
    </w:p>
    <w:p>
      <w:pPr>
        <w:pStyle w:val="ListNumber"/>
      </w:pPr>
      <w:r>
        <w:t>Show the preview to see the real page beside the form.</w:t>
      </w:r>
    </w:p>
    <w:p>
      <w:pPr>
        <w:pStyle w:val="ListNumber"/>
      </w:pPr>
      <w:r>
        <w:t>Photographs upload directly — use pictures of the Institute rather than stock images.</w:t>
      </w:r>
    </w:p>
    <w:p>
      <w:pPr>
        <w:pStyle w:val="ListNumber"/>
      </w:pPr>
      <w:r>
        <w:t>Videos take the ordinary share link from YouTube, TikTok, Facebook or Instagram.</w:t>
      </w:r>
    </w:p>
    <w:p>
      <w:pPr>
        <w:pStyle w:val="ListNumber"/>
      </w:pPr>
      <w:r>
        <w:t>Save. It is live immediately.</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The programme list is NOT edited here. It comes from your real records, so a course you close stops being advertised the same afternoon. That is deliberate: a page that advertises a course that no longer exists takes applications for it.</w:t>
            </w:r>
          </w:p>
        </w:tc>
      </w:tr>
    </w:tbl>
    <w:p/>
    <w:p>
      <w:pPr>
        <w:pStyle w:val="Heading2"/>
      </w:pPr>
      <w:r>
        <w:t>Import and bulk changes</w:t>
      </w:r>
    </w:p>
    <w:p>
      <w:r>
        <w:rPr>
          <w:b w:val="0"/>
          <w:i w:val="0"/>
        </w:rPr>
        <w:t>For many records at once — a cohort joining from elsewhere, or moving a group between sections.</w:t>
      </w:r>
    </w:p>
    <w:p>
      <w:pPr>
        <w:pStyle w:val="Heading3"/>
      </w:pPr>
      <w:r>
        <w:t>How to use it</w:t>
      </w:r>
    </w:p>
    <w:p>
      <w:pPr>
        <w:pStyle w:val="ListNumber"/>
      </w:pPr>
      <w:r>
        <w:t>Download the template and fill it in, one row per student.</w:t>
      </w:r>
    </w:p>
    <w:p>
      <w:pPr>
        <w:pStyle w:val="ListNumber"/>
      </w:pPr>
      <w:r>
        <w:t>Upload it. Nothing is created yet.</w:t>
      </w:r>
    </w:p>
    <w:p>
      <w:pPr>
        <w:pStyle w:val="ListNumber"/>
      </w:pPr>
      <w:r>
        <w:t>Read the preview — it shows exactly what would happen, row by row.</w:t>
      </w:r>
    </w:p>
    <w:p>
      <w:pPr>
        <w:pStyle w:val="ListNumber"/>
      </w:pPr>
      <w:r>
        <w:t>Fix anything flagged, upload again, and only then import.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Always read the preview. It is the only chance to catch a wrong column before it becomes two hundred students on the wrong course. If a count is larger than you expected, your filter is wrong — not the System.</w:t>
            </w:r>
          </w:p>
        </w:tc>
      </w:tr>
    </w:tbl>
    <w:p/>
    <w:p>
      <w:pPr>
        <w:pStyle w:val="Heading2"/>
      </w:pPr>
      <w:r>
        <w:t>Reports and Audit</w:t>
      </w:r>
    </w:p>
    <w:p>
      <w:r>
        <w:rPr>
          <w:b w:val="0"/>
          <w:i w:val="0"/>
        </w:rPr>
        <w:t>Reports are counted at the moment you ask. The audit log is a permanent record of every change: who, what, when, and what it was before.</w:t>
      </w:r>
    </w:p>
    <w:p>
      <w:pPr>
        <w:pStyle w:val="Heading3"/>
      </w:pPr>
      <w:r>
        <w:t>How to use it</w:t>
      </w:r>
    </w:p>
    <w:p>
      <w:pPr>
        <w:pStyle w:val="ListNumber"/>
      </w:pPr>
      <w:r>
        <w:t>Choose a report, narrow it, read it on screen, then export if needed.</w:t>
      </w:r>
    </w:p>
    <w:p>
      <w:pPr>
        <w:pStyle w:val="ListNumber"/>
      </w:pPr>
      <w:r>
        <w:t>In Audit, search by person, by kind of change, or by date.</w:t>
      </w:r>
    </w:p>
    <w:p>
      <w:pPr>
        <w:pStyle w:val="ListNumber"/>
      </w:pPr>
      <w:r>
        <w:t>If somebody was acting as another user, the entry names both.</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Nobody can edit or delete the audit log — including you, and including a Super Admin. That is what makes it worth having.</w:t>
            </w:r>
          </w:p>
        </w:tc>
      </w:tr>
    </w:tbl>
    <w:p/>
    <w:p>
      <w:pPr>
        <w:pStyle w:val="Heading1"/>
      </w:pPr>
      <w:r>
        <w:t>What only a Super Admin can do</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Task</w:t>
            </w:r>
          </w:p>
        </w:tc>
        <w:tc>
          <w:tcPr>
            <w:tcW w:type="dxa" w:w="4320"/>
          </w:tcPr>
          <w:p>
            <w:r/>
            <w:r>
              <w:rPr>
                <w:b/>
                <w:sz w:val="20"/>
              </w:rPr>
              <w:t>Why it is not yours</w:t>
            </w:r>
          </w:p>
        </w:tc>
      </w:tr>
      <w:tr>
        <w:tc>
          <w:tcPr>
            <w:tcW w:type="dxa" w:w="4320"/>
          </w:tcPr>
          <w:p>
            <w:r/>
            <w:r>
              <w:rPr>
                <w:sz w:val="20"/>
              </w:rPr>
              <w:t>Change institute policy (Settings)</w:t>
            </w:r>
          </w:p>
        </w:tc>
        <w:tc>
          <w:tcPr>
            <w:tcW w:type="dxa" w:w="4320"/>
          </w:tcPr>
          <w:p>
            <w:r/>
            <w:r>
              <w:rPr>
                <w:sz w:val="20"/>
              </w:rPr>
              <w:t>Those values decide when a student is warned and what a certificate requires</w:t>
            </w:r>
          </w:p>
        </w:tc>
      </w:tr>
      <w:tr>
        <w:tc>
          <w:tcPr>
            <w:tcW w:type="dxa" w:w="4320"/>
          </w:tcPr>
          <w:p>
            <w:r/>
            <w:r>
              <w:rPr>
                <w:sz w:val="20"/>
              </w:rPr>
              <w:t>Read the security log</w:t>
            </w:r>
          </w:p>
        </w:tc>
        <w:tc>
          <w:tcPr>
            <w:tcW w:type="dxa" w:w="4320"/>
          </w:tcPr>
          <w:p>
            <w:r/>
            <w:r>
              <w:rPr>
                <w:sz w:val="20"/>
              </w:rPr>
              <w:t>It names who has been attacked and from where — as useful for investigating a colleague as for defending one</w:t>
            </w:r>
          </w:p>
        </w:tc>
      </w:tr>
      <w:tr>
        <w:tc>
          <w:tcPr>
            <w:tcW w:type="dxa" w:w="4320"/>
          </w:tcPr>
          <w:p>
            <w:r/>
            <w:r>
              <w:rPr>
                <w:sz w:val="20"/>
              </w:rPr>
              <w:t>Take and restore backups</w:t>
            </w:r>
          </w:p>
        </w:tc>
        <w:tc>
          <w:tcPr>
            <w:tcW w:type="dxa" w:w="4320"/>
          </w:tcPr>
          <w:p>
            <w:r/>
            <w:r>
              <w:rPr>
                <w:sz w:val="20"/>
              </w:rPr>
              <w:t>A restore undoes every change since it was taken, for everybody</w:t>
            </w:r>
          </w:p>
        </w:tc>
      </w:tr>
      <w:tr>
        <w:tc>
          <w:tcPr>
            <w:tcW w:type="dxa" w:w="4320"/>
          </w:tcPr>
          <w:p>
            <w:r/>
            <w:r>
              <w:rPr>
                <w:sz w:val="20"/>
              </w:rPr>
              <w:t>Grant and revoke roles at the highest level</w:t>
            </w:r>
          </w:p>
        </w:tc>
        <w:tc>
          <w:tcPr>
            <w:tcW w:type="dxa" w:w="4320"/>
          </w:tcPr>
          <w:p>
            <w:r/>
            <w:r>
              <w:rPr>
                <w:sz w:val="20"/>
              </w:rPr>
              <w:t>The one power that could grant itself more</w:t>
            </w:r>
          </w:p>
        </w:tc>
      </w:tr>
      <w:tr>
        <w:tc>
          <w:tcPr>
            <w:tcW w:type="dxa" w:w="4320"/>
          </w:tcPr>
          <w:p>
            <w:r/>
            <w:r>
              <w:rPr>
                <w:sz w:val="20"/>
              </w:rPr>
              <w:t>Act as another user</w:t>
            </w:r>
          </w:p>
        </w:tc>
        <w:tc>
          <w:tcPr>
            <w:tcW w:type="dxa" w:w="4320"/>
          </w:tcPr>
          <w:p>
            <w:r/>
            <w:r>
              <w:rPr>
                <w:sz w:val="20"/>
              </w:rPr>
              <w:t>Produces a session indistinguishable from the real person's</w:t>
            </w:r>
          </w:p>
        </w:tc>
      </w:tr>
    </w:tbl>
    <w:p/>
    <w:p>
      <w:r>
        <w:br w:type="page"/>
      </w:r>
    </w:p>
    <w:p>
      <w:pPr>
        <w:pStyle w:val="Heading1"/>
      </w:pPr>
      <w:r>
        <w:t>If something looks wrong</w:t>
      </w:r>
    </w:p>
    <w:p>
      <w:pPr>
        <w:pStyle w:val="ListBullet"/>
      </w:pPr>
      <w:r>
        <w:t>Reload the page first. Most oddities are a screen that has been open a long while.</w:t>
      </w:r>
    </w:p>
    <w:p>
      <w:pPr>
        <w:pStyle w:val="ListBullet"/>
      </w:pPr>
      <w:r>
        <w:t>Check the date and the term at the top of the screen — a figure that looks wrong is usually the right figure for a different term.</w:t>
      </w:r>
    </w:p>
    <w:p>
      <w:pPr>
        <w:pStyle w:val="ListBullet"/>
      </w:pPr>
      <w:r>
        <w:t>Note what you were doing and what you expected, and tell the office. If an error message showed a reference beginning ERR-, include it: it identifies the exact request in the log.</w:t>
      </w:r>
    </w:p>
    <w:p>
      <w:pPr>
        <w:pStyle w:val="ListBullet"/>
      </w:pPr>
      <w:r>
        <w:t>If a figure looks wrong, check the term first. Most 'wrong' numbers are the right number for a different term.</w:t>
      </w:r>
    </w:p>
    <w:p/>
    <w:p>
      <w:r>
        <w:rPr>
          <w:b w:val="0"/>
          <w:i w:val="0"/>
          <w:color w:val="555F6B"/>
          <w:sz w:val="20"/>
        </w:rPr>
        <w:t>This manual describes the System as installed at the Prepreneurship Institute. Screens change as the Institute changes; the blue panel on each screen is always current, because it lives in the software rather than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1A3C5E"/>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3C5E"/>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C17D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