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F5A623" w:sz="24" w:space="0"/>
        </w:pBdr>
        <w:spacing w:after="0" w:before="0"/>
      </w:pPr>
      <w:r>
        <w:rPr>
          <w:sz w:val="4"/>
          <w:szCs w:val="4"/>
        </w:rPr>
        <w:t xml:space="preserve"/>
      </w:r>
    </w:p>
    <w:p>
      <w:pPr>
        <w:spacing w:after="0" w:before="2400"/>
      </w:pPr>
      <w:r>
        <w:rPr>
          <w:sz w:val="16"/>
          <w:szCs w:val="16"/>
        </w:rPr>
        <w:t xml:space="preserve"/>
      </w:r>
    </w:p>
    <w:p>
      <w:pPr>
        <w:spacing w:after="80" w:before="0"/>
        <w:jc w:val="left"/>
      </w:pPr>
      <w:r>
        <w:rPr>
          <w:rFonts w:ascii="Arial" w:cs="Arial" w:eastAsia="Arial" w:hAnsi="Arial"/>
          <w:b/>
          <w:bCs/>
          <w:color w:val="F5A623"/>
          <w:spacing w:val="80"/>
          <w:sz w:val="24"/>
          <w:szCs w:val="24"/>
        </w:rPr>
        <w:t xml:space="preserve">PREPRENEURSHIP (PVT.) LTD.</w:t>
      </w:r>
    </w:p>
    <w:p>
      <w:pPr>
        <w:spacing w:after="200" w:before="80"/>
        <w:jc w:val="left"/>
      </w:pPr>
      <w:r>
        <w:rPr>
          <w:rFonts w:ascii="Arial" w:cs="Arial" w:eastAsia="Arial" w:hAnsi="Arial"/>
          <w:color w:val="1A3C5E"/>
          <w:sz w:val="96"/>
          <w:szCs w:val="96"/>
        </w:rPr>
        <w:t xml:space="preserve">Brand Guidelines</w:t>
      </w:r>
    </w:p>
    <w:p>
      <w:pPr>
        <w:spacing w:after="600" w:before="0"/>
        <w:jc w:val="left"/>
      </w:pPr>
      <w:r>
        <w:rPr>
          <w:rFonts w:ascii="Arial" w:cs="Arial" w:eastAsia="Arial" w:hAnsi="Arial"/>
          <w:color w:val="6B7280"/>
          <w:sz w:val="22"/>
          <w:szCs w:val="22"/>
        </w:rPr>
        <w:t xml:space="preserve">Version 2.0  ·  April 2026</w:t>
      </w:r>
    </w:p>
    <w:p>
      <w:pPr>
        <w:pBdr>
          <w:bottom w:val="single" w:color="F5A623" w:sz="12" w:space="1"/>
        </w:pBdr>
        <w:spacing w:after="200" w:before="200"/>
      </w:pPr>
      <w:r>
        <w:rPr>
          <w:sz w:val="4"/>
          <w:szCs w:val="4"/>
        </w:rPr>
        <w:t xml:space="preserve"/>
      </w:r>
    </w:p>
    <w:p>
      <w:pPr>
        <w:spacing w:after="80" w:before="200"/>
        <w:jc w:val="left"/>
      </w:pPr>
      <w:r>
        <w:rPr>
          <w:rFonts w:ascii="Arial" w:cs="Arial" w:eastAsia="Arial" w:hAnsi="Arial"/>
          <w:i/>
          <w:iCs/>
          <w:color w:val="1A3C5E"/>
          <w:sz w:val="36"/>
          <w:szCs w:val="36"/>
        </w:rPr>
        <w:t xml:space="preserve">Dream. Learn. Earn.</w:t>
      </w:r>
    </w:p>
    <w:p>
      <w:pPr>
        <w:spacing w:after="200" w:before="200" w:line="320"/>
        <w:jc w:val="left"/>
      </w:pPr>
      <w:r>
        <w:rPr>
          <w:rFonts w:ascii="Arial" w:cs="Arial" w:eastAsia="Arial" w:hAnsi="Arial"/>
          <w:color w:val="111827"/>
          <w:sz w:val="22"/>
          <w:szCs w:val="22"/>
        </w:rPr>
        <w:t xml:space="preserve">The single source of truth for all brand decisions across print, slide, web, mobile, and digital channels. This document defines the official visual, tonal, and structural standards for Pre-preneurship (Pvt.) Ltd. — the institution’s premium identity in every output, regardless of medium.</w:t>
      </w:r>
    </w:p>
    <w:p>
      <w:pPr>
        <w:spacing w:after="0" w:before="800"/>
      </w:pPr>
      <w:r>
        <w:rPr>
          <w:sz w:val="16"/>
          <w:szCs w:val="16"/>
        </w:rPr>
        <w:t xml:space="preserve"/>
      </w:r>
    </w:p>
    <w:p>
      <w:pPr>
        <w:spacing w:after="60" w:before="0"/>
      </w:pPr>
      <w:r>
        <w:rPr>
          <w:rFonts w:ascii="Arial" w:cs="Arial" w:eastAsia="Arial" w:hAnsi="Arial"/>
          <w:b/>
          <w:bCs/>
          <w:color w:val="1A3C5E"/>
          <w:sz w:val="20"/>
          <w:szCs w:val="20"/>
        </w:rPr>
        <w:t xml:space="preserve">Office of the CEO</w:t>
      </w:r>
    </w:p>
    <w:p>
      <w:pPr>
        <w:spacing w:after="40" w:before="0" w:line="280"/>
        <w:jc w:val="left"/>
      </w:pPr>
      <w:r>
        <w:rPr>
          <w:rFonts w:ascii="Arial" w:cs="Arial" w:eastAsia="Arial" w:hAnsi="Arial"/>
          <w:color w:val="6B7280"/>
          <w:sz w:val="19"/>
          <w:szCs w:val="19"/>
        </w:rPr>
        <w:t xml:space="preserve">Prepared by: Brand &amp; Communications  ·  Approved by: CEO Syed Wajahat Ali</w:t>
      </w:r>
    </w:p>
    <w:p>
      <w:pPr>
        <w:spacing w:after="40" w:before="0" w:line="280"/>
        <w:jc w:val="left"/>
      </w:pPr>
      <w:r>
        <w:rPr>
          <w:rFonts w:ascii="Arial" w:cs="Arial" w:eastAsia="Arial" w:hAnsi="Arial"/>
          <w:color w:val="6B7280"/>
          <w:sz w:val="19"/>
          <w:szCs w:val="19"/>
        </w:rPr>
        <w:t xml:space="preserve">Status: Confidential — Internal Use</w:t>
      </w:r>
    </w:p>
    <w:p>
      <w:pPr>
        <w:spacing w:after="80" w:before="0" w:line="280"/>
        <w:jc w:val="left"/>
      </w:pPr>
      <w:r>
        <w:rPr>
          <w:rFonts w:ascii="Arial" w:cs="Arial" w:eastAsia="Arial" w:hAnsi="Arial"/>
          <w:color w:val="6B7280"/>
          <w:sz w:val="19"/>
          <w:szCs w:val="19"/>
        </w:rPr>
        <w:t xml:space="preserve">Supersedes: Brand Guidelines V1.0 (April 2026)</w:t>
      </w:r>
    </w:p>
    <w:p>
      <w:r>
        <w:br w:type="page"/>
      </w:r>
    </w:p>
    <w:p>
      <w:pPr>
        <w:pStyle w:val="Heading1"/>
      </w:pPr>
      <w:r>
        <w:rPr>
          <w:rFonts w:ascii="Arial" w:cs="Arial" w:eastAsia="Arial" w:hAnsi="Arial"/>
          <w:b/>
          <w:bCs/>
          <w:color w:val="1A3C5E"/>
          <w:sz w:val="36"/>
          <w:szCs w:val="36"/>
        </w:rPr>
        <w:t xml:space="preserve">1. Introduction &amp; Purpose</w:t>
      </w:r>
    </w:p>
    <w:p>
      <w:pPr>
        <w:pBdr>
          <w:bottom w:val="single" w:color="E5E7EB" w:sz="6" w:space="1"/>
        </w:pBdr>
        <w:spacing w:after="100" w:before="100"/>
      </w:pPr>
      <w:r>
        <w:rPr>
          <w:sz w:val="4"/>
          <w:szCs w:val="4"/>
        </w:rPr>
        <w:t xml:space="preserve"/>
      </w:r>
    </w:p>
    <w:p>
      <w:pPr>
        <w:spacing w:after="100" w:before="0" w:line="280"/>
        <w:jc w:val="left"/>
      </w:pPr>
      <w:r>
        <w:rPr>
          <w:rFonts w:ascii="Arial" w:cs="Arial" w:eastAsia="Arial" w:hAnsi="Arial"/>
          <w:sz w:val="22"/>
          <w:szCs w:val="22"/>
        </w:rPr>
        <w:t xml:space="preserve">This document is the single authoritative reference for every brand decision made under Pre-preneurship (Pvt.) Ltd. It governs visual identity, voice, formatting, and channel-specific application across:</w:t>
      </w:r>
    </w:p>
    <w:p>
      <w:pPr>
        <w:pStyle w:val="ListParagraph"/>
        <w:numPr>
          <w:ilvl w:val="0"/>
          <w:numId w:val="2"/>
        </w:numPr>
        <w:spacing w:after="60" w:before="0" w:line="280"/>
      </w:pPr>
      <w:r>
        <w:rPr>
          <w:rFonts w:ascii="Arial" w:cs="Arial" w:eastAsia="Arial" w:hAnsi="Arial"/>
          <w:sz w:val="22"/>
          <w:szCs w:val="22"/>
        </w:rPr>
        <w:t xml:space="preserve">Presentations, pitch decks, and investor documents</w:t>
      </w:r>
    </w:p>
    <w:p>
      <w:pPr>
        <w:pStyle w:val="ListParagraph"/>
        <w:numPr>
          <w:ilvl w:val="0"/>
          <w:numId w:val="2"/>
        </w:numPr>
        <w:spacing w:after="60" w:before="0" w:line="280"/>
      </w:pPr>
      <w:r>
        <w:rPr>
          <w:rFonts w:ascii="Arial" w:cs="Arial" w:eastAsia="Arial" w:hAnsi="Arial"/>
          <w:sz w:val="22"/>
          <w:szCs w:val="22"/>
        </w:rPr>
        <w:t xml:space="preserve">Word documents, policies, SOPs, and institutional records</w:t>
      </w:r>
    </w:p>
    <w:p>
      <w:pPr>
        <w:pStyle w:val="ListParagraph"/>
        <w:numPr>
          <w:ilvl w:val="0"/>
          <w:numId w:val="2"/>
        </w:numPr>
        <w:spacing w:after="60" w:before="0" w:line="280"/>
      </w:pPr>
      <w:r>
        <w:rPr>
          <w:rFonts w:ascii="Arial" w:cs="Arial" w:eastAsia="Arial" w:hAnsi="Arial"/>
          <w:sz w:val="22"/>
          <w:szCs w:val="22"/>
        </w:rPr>
        <w:t xml:space="preserve">Website, landing pages, application forms, and digital products</w:t>
      </w:r>
    </w:p>
    <w:p>
      <w:pPr>
        <w:pStyle w:val="ListParagraph"/>
        <w:numPr>
          <w:ilvl w:val="0"/>
          <w:numId w:val="2"/>
        </w:numPr>
        <w:spacing w:after="60" w:before="0" w:line="280"/>
      </w:pPr>
      <w:r>
        <w:rPr>
          <w:rFonts w:ascii="Arial" w:cs="Arial" w:eastAsia="Arial" w:hAnsi="Arial"/>
          <w:sz w:val="22"/>
          <w:szCs w:val="22"/>
        </w:rPr>
        <w:t xml:space="preserve">Social media content, video assets, and paid advertising</w:t>
      </w:r>
    </w:p>
    <w:p>
      <w:pPr>
        <w:pStyle w:val="ListParagraph"/>
        <w:numPr>
          <w:ilvl w:val="0"/>
          <w:numId w:val="2"/>
        </w:numPr>
        <w:spacing w:after="60" w:before="0" w:line="280"/>
      </w:pPr>
      <w:r>
        <w:rPr>
          <w:rFonts w:ascii="Arial" w:cs="Arial" w:eastAsia="Arial" w:hAnsi="Arial"/>
          <w:sz w:val="22"/>
          <w:szCs w:val="22"/>
        </w:rPr>
        <w:t xml:space="preserve">WhatsApp broadcasts, email campaigns, and direct communications</w:t>
      </w:r>
    </w:p>
    <w:p>
      <w:pPr>
        <w:pStyle w:val="ListParagraph"/>
        <w:numPr>
          <w:ilvl w:val="0"/>
          <w:numId w:val="2"/>
        </w:numPr>
        <w:spacing w:after="60" w:before="0" w:line="280"/>
      </w:pPr>
      <w:r>
        <w:rPr>
          <w:rFonts w:ascii="Arial" w:cs="Arial" w:eastAsia="Arial" w:hAnsi="Arial"/>
          <w:sz w:val="22"/>
          <w:szCs w:val="22"/>
        </w:rPr>
        <w:t xml:space="preserve">Physical signage, merchandise, and printed collateral</w:t>
      </w:r>
    </w:p>
    <w:p>
      <w:pPr>
        <w:spacing w:after="0" w:before="120"/>
      </w:pPr>
      <w:r>
        <w:rPr>
          <w:sz w:val="16"/>
          <w:szCs w:val="16"/>
        </w:rPr>
        <w:t xml:space="preserve"/>
      </w:r>
    </w:p>
    <w:p>
      <w:pPr>
        <w:spacing w:after="200" w:before="0" w:line="280"/>
        <w:jc w:val="left"/>
      </w:pPr>
      <w:r>
        <w:rPr>
          <w:rFonts w:ascii="Arial" w:cs="Arial" w:eastAsia="Arial" w:hAnsi="Arial"/>
          <w:i/>
          <w:iCs/>
          <w:color w:val="6B7280"/>
          <w:sz w:val="22"/>
          <w:szCs w:val="22"/>
        </w:rPr>
        <w:t xml:space="preserve">Any deviation from this document requires written approval from the Office of the CEO.</w:t>
      </w:r>
    </w:p>
    <w:p>
      <w:pPr>
        <w:spacing w:after="40" w:before="200" w:line="280"/>
      </w:pPr>
      <w:r>
        <w:rPr>
          <w:rFonts w:ascii="Arial" w:cs="Arial" w:eastAsia="Arial" w:hAnsi="Arial"/>
          <w:b/>
          <w:bCs/>
          <w:color w:val="F5A623"/>
          <w:spacing w:val="40"/>
          <w:sz w:val="16"/>
          <w:szCs w:val="16"/>
        </w:rPr>
        <w:t xml:space="preserve">1.1 — BRAND POSITIONING STATEMENT</w:t>
      </w:r>
    </w:p>
    <w:tbl>
      <w:tblPr>
        <w:tblW w:type="dxa" w:w="9360"/>
        <w:tblBorders>
          <w:top w:val="single" w:color="E5E7EB" w:sz="6"/>
          <w:left w:val="single" w:color="F5A623" w:sz="24"/>
          <w:bottom w:val="single" w:color="E5E7EB" w:sz="6"/>
          <w:right w:val="single" w:color="E5E7EB"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200"/>
              <w:left w:type="dxa" w:w="280"/>
              <w:bottom w:type="dxa" w:w="200"/>
              <w:right w:type="dxa" w:w="200"/>
            </w:tcMar>
          </w:tcPr>
          <w:p>
            <w:pPr>
              <w:spacing w:line="320"/>
            </w:pPr>
            <w:r>
              <w:rPr>
                <w:rFonts w:ascii="Arial" w:cs="Arial" w:eastAsia="Arial" w:hAnsi="Arial"/>
                <w:i/>
                <w:iCs/>
                <w:color w:val="1A3C5E"/>
                <w:sz w:val="24"/>
                <w:szCs w:val="24"/>
              </w:rPr>
              <w:t xml:space="preserve">Prepreneurship is Pakistan’s discipline-driven youth acceleration platform — a career transformation ecosystem that converts raw ambition into real market performance. It is not a course provider, training centre, or charity. It is a production-oriented pipeline.</w:t>
            </w:r>
          </w:p>
        </w:tc>
      </w:tr>
    </w:tbl>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1.2 — THE NON-NEGOTIABLE TAGLINE</w:t>
      </w:r>
    </w:p>
    <w:p>
      <w:pPr>
        <w:spacing w:after="100" w:before="0" w:line="280"/>
        <w:jc w:val="left"/>
      </w:pPr>
      <w:r>
        <w:rPr>
          <w:rFonts w:ascii="Arial" w:cs="Arial" w:eastAsia="Arial" w:hAnsi="Arial"/>
          <w:sz w:val="22"/>
          <w:szCs w:val="22"/>
        </w:rPr>
        <w:t xml:space="preserve">"Dream. Learn. Earn." is the brand tagline. Exact punctuation. Exact spelling. Exact capitalisation. Always.</w:t>
      </w:r>
    </w:p>
    <w:p>
      <w:pPr>
        <w:spacing w:after="200" w:before="0" w:line="280"/>
        <w:jc w:val="left"/>
      </w:pPr>
      <w:r>
        <w:rPr>
          <w:rFonts w:ascii="Arial" w:cs="Arial" w:eastAsia="Arial" w:hAnsi="Arial"/>
          <w:i/>
          <w:iCs/>
          <w:color w:val="6B7280"/>
          <w:sz w:val="22"/>
          <w:szCs w:val="22"/>
        </w:rPr>
        <w:t xml:space="preserve">It appears on every page, every slide, every document — without exception.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pPr>
              <w:jc w:val="center"/>
            </w:pPr>
            <w:r>
              <w:rPr>
                <w:rFonts w:ascii="Arial" w:cs="Arial" w:eastAsia="Arial" w:hAnsi="Arial"/>
                <w:b/>
                <w:bCs/>
                <w:color w:val="F5A623"/>
                <w:sz w:val="36"/>
                <w:szCs w:val="36"/>
              </w:rPr>
              <w:t xml:space="preserve">DREAM</w:t>
            </w:r>
          </w:p>
          <w:p>
            <w:pPr>
              <w:spacing w:before="60"/>
              <w:jc w:val="center"/>
            </w:pPr>
            <w:r>
              <w:rPr>
                <w:rFonts w:ascii="Arial" w:cs="Arial" w:eastAsia="Arial" w:hAnsi="Arial"/>
                <w:i/>
                <w:iCs/>
                <w:color w:val="6B7280"/>
                <w:sz w:val="20"/>
                <w:szCs w:val="20"/>
              </w:rPr>
              <w:t xml:space="preserve">Ambition &amp; Vision</w:t>
            </w:r>
          </w:p>
        </w:tc>
        <w:tc>
          <w:tcPr>
            <w:tcW w:type="dxa" w:w="312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pPr>
              <w:jc w:val="center"/>
            </w:pPr>
            <w:r>
              <w:rPr>
                <w:rFonts w:ascii="Arial" w:cs="Arial" w:eastAsia="Arial" w:hAnsi="Arial"/>
                <w:b/>
                <w:bCs/>
                <w:color w:val="F5A623"/>
                <w:sz w:val="36"/>
                <w:szCs w:val="36"/>
              </w:rPr>
              <w:t xml:space="preserve">LEARN</w:t>
            </w:r>
          </w:p>
          <w:p>
            <w:pPr>
              <w:spacing w:before="60"/>
              <w:jc w:val="center"/>
            </w:pPr>
            <w:r>
              <w:rPr>
                <w:rFonts w:ascii="Arial" w:cs="Arial" w:eastAsia="Arial" w:hAnsi="Arial"/>
                <w:i/>
                <w:iCs/>
                <w:color w:val="6B7280"/>
                <w:sz w:val="20"/>
                <w:szCs w:val="20"/>
              </w:rPr>
              <w:t xml:space="preserve">Skills &amp; Discipline</w:t>
            </w:r>
          </w:p>
        </w:tc>
        <w:tc>
          <w:tcPr>
            <w:tcW w:type="dxa" w:w="312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pPr>
              <w:jc w:val="center"/>
            </w:pPr>
            <w:r>
              <w:rPr>
                <w:rFonts w:ascii="Arial" w:cs="Arial" w:eastAsia="Arial" w:hAnsi="Arial"/>
                <w:b/>
                <w:bCs/>
                <w:color w:val="F5A623"/>
                <w:sz w:val="36"/>
                <w:szCs w:val="36"/>
              </w:rPr>
              <w:t xml:space="preserve">EARN</w:t>
            </w:r>
          </w:p>
          <w:p>
            <w:pPr>
              <w:spacing w:before="60"/>
              <w:jc w:val="center"/>
            </w:pPr>
            <w:r>
              <w:rPr>
                <w:rFonts w:ascii="Arial" w:cs="Arial" w:eastAsia="Arial" w:hAnsi="Arial"/>
                <w:i/>
                <w:iCs/>
                <w:color w:val="6B7280"/>
                <w:sz w:val="20"/>
                <w:szCs w:val="20"/>
              </w:rPr>
              <w:t xml:space="preserve">Income &amp; Impact</w:t>
            </w:r>
          </w:p>
        </w:tc>
      </w:tr>
    </w:tbl>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1.3 — WHAT WE ARE / WHAT WE ARE NOT</w:t>
      </w:r>
    </w:p>
    <w:p>
      <w:pPr>
        <w:spacing w:after="120" w:before="0" w:line="280"/>
        <w:jc w:val="left"/>
      </w:pPr>
      <w:r>
        <w:rPr>
          <w:rFonts w:ascii="Arial" w:cs="Arial" w:eastAsia="Arial" w:hAnsi="Arial"/>
          <w:color w:val="6B7280"/>
          <w:sz w:val="22"/>
          <w:szCs w:val="22"/>
        </w:rPr>
        <w:t xml:space="preserve">Every brand decision starts here. If a piece of content blurs this line, it must be corrected before publication.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r>
              <w:rPr>
                <w:rFonts w:ascii="Arial" w:cs="Arial" w:eastAsia="Arial" w:hAnsi="Arial"/>
                <w:b/>
                <w:bCs/>
                <w:color w:val="065F46"/>
                <w:sz w:val="22"/>
                <w:szCs w:val="22"/>
              </w:rPr>
              <w:t xml:space="preserve">✓ WE ARE</w:t>
            </w:r>
          </w:p>
        </w:tc>
        <w:tc>
          <w:tcPr>
            <w:tcW w:type="dxa" w:w="468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r>
              <w:rPr>
                <w:rFonts w:ascii="Arial" w:cs="Arial" w:eastAsia="Arial" w:hAnsi="Arial"/>
                <w:b/>
                <w:bCs/>
                <w:color w:val="C53030"/>
                <w:sz w:val="22"/>
                <w:szCs w:val="22"/>
              </w:rPr>
              <w:t xml:space="preserve">✗ WE ARE NOT</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 career transformation ecosystem</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 course provider or training centre</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 discipline-driven youth acceleration platform</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 self-paced e-learning platform</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 production-oriented institutional pipeline</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 charity, welfare programme, or subsidised initiative</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Premium, institutional, and Pakistani in confidence</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 generic SaaS startup or Western lookalike</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Built for serious applicants who can demonstrate intent</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Open enrolment, "anyone can join" framing</w:t>
            </w:r>
          </w:p>
        </w:tc>
      </w:tr>
    </w:tbl>
    <w:p>
      <w:r>
        <w:br w:type="page"/>
      </w:r>
    </w:p>
    <w:p>
      <w:pPr>
        <w:pStyle w:val="Heading1"/>
      </w:pPr>
      <w:r>
        <w:rPr>
          <w:rFonts w:ascii="Arial" w:cs="Arial" w:eastAsia="Arial" w:hAnsi="Arial"/>
          <w:b/>
          <w:bCs/>
          <w:color w:val="1A3C5E"/>
          <w:sz w:val="36"/>
          <w:szCs w:val="36"/>
        </w:rPr>
        <w:t xml:space="preserve">2. Logo System</w:t>
      </w:r>
    </w:p>
    <w:p>
      <w:pPr>
        <w:pBdr>
          <w:bottom w:val="single" w:color="E5E7EB" w:sz="6" w:space="1"/>
        </w:pBdr>
        <w:spacing w:after="100" w:before="100"/>
      </w:pPr>
      <w:r>
        <w:rPr>
          <w:sz w:val="4"/>
          <w:szCs w:val="4"/>
        </w:rPr>
        <w:t xml:space="preserve"/>
      </w:r>
    </w:p>
    <w:p>
      <w:pPr>
        <w:spacing w:after="40" w:before="200" w:line="280"/>
      </w:pPr>
      <w:r>
        <w:rPr>
          <w:rFonts w:ascii="Arial" w:cs="Arial" w:eastAsia="Arial" w:hAnsi="Arial"/>
          <w:b/>
          <w:bCs/>
          <w:color w:val="F5A623"/>
          <w:spacing w:val="40"/>
          <w:sz w:val="16"/>
          <w:szCs w:val="16"/>
        </w:rPr>
        <w:t xml:space="preserve">2.1 — LOGO DESCRIPTION</w:t>
      </w:r>
    </w:p>
    <w:p>
      <w:pPr>
        <w:spacing w:after="100" w:before="0" w:line="280"/>
        <w:jc w:val="left"/>
      </w:pPr>
      <w:r>
        <w:rPr>
          <w:rFonts w:ascii="Arial" w:cs="Arial" w:eastAsia="Arial" w:hAnsi="Arial"/>
          <w:sz w:val="22"/>
          <w:szCs w:val="22"/>
        </w:rPr>
        <w:t xml:space="preserve">The Prepreneurship logo is a locked composition of three elements:</w:t>
      </w:r>
    </w:p>
    <w:p>
      <w:pPr>
        <w:pStyle w:val="ListParagraph"/>
        <w:numPr>
          <w:ilvl w:val="0"/>
          <w:numId w:val="2"/>
        </w:numPr>
        <w:spacing w:after="60" w:before="0" w:line="280"/>
      </w:pPr>
      <w:r>
        <w:rPr>
          <w:rFonts w:ascii="Arial" w:cs="Arial" w:eastAsia="Arial" w:hAnsi="Arial"/>
          <w:sz w:val="22"/>
          <w:szCs w:val="22"/>
        </w:rPr>
        <w:t xml:space="preserve">Emblem — a circular orange-to-amber gradient mark featuring a human figure in motion (arms raised), upward-pointing chevrons representing growth, and sparkle accents</w:t>
      </w:r>
    </w:p>
    <w:p>
      <w:pPr>
        <w:pStyle w:val="ListParagraph"/>
        <w:numPr>
          <w:ilvl w:val="0"/>
          <w:numId w:val="2"/>
        </w:numPr>
        <w:spacing w:after="60" w:before="0" w:line="280"/>
      </w:pPr>
      <w:r>
        <w:rPr>
          <w:rFonts w:ascii="Arial" w:cs="Arial" w:eastAsia="Arial" w:hAnsi="Arial"/>
          <w:sz w:val="22"/>
          <w:szCs w:val="22"/>
        </w:rPr>
        <w:t xml:space="preserve">Wordmark — "Pre-preneurship" in calligraphic script, dark/black</w:t>
      </w:r>
    </w:p>
    <w:p>
      <w:pPr>
        <w:pStyle w:val="ListParagraph"/>
        <w:numPr>
          <w:ilvl w:val="0"/>
          <w:numId w:val="2"/>
        </w:numPr>
        <w:spacing w:after="60" w:before="0" w:line="280"/>
      </w:pPr>
      <w:r>
        <w:rPr>
          <w:rFonts w:ascii="Arial" w:cs="Arial" w:eastAsia="Arial" w:hAnsi="Arial"/>
          <w:sz w:val="22"/>
          <w:szCs w:val="22"/>
        </w:rPr>
        <w:t xml:space="preserve">Tagline lockup — "Dream, Learn and Earn" in small caps, flanked by thin horizontal rules</w:t>
      </w:r>
    </w:p>
    <w:p>
      <w:pPr>
        <w:spacing w:after="0" w:before="120"/>
      </w:pPr>
      <w:r>
        <w:rPr>
          <w:sz w:val="16"/>
          <w:szCs w:val="16"/>
        </w:rPr>
        <w:t xml:space="preserve"/>
      </w:r>
    </w:p>
    <w:p>
      <w:pPr>
        <w:spacing w:after="200" w:before="0" w:line="280"/>
        <w:jc w:val="left"/>
      </w:pPr>
      <w:r>
        <w:rPr>
          <w:rFonts w:ascii="Arial" w:cs="Arial" w:eastAsia="Arial" w:hAnsi="Arial"/>
          <w:i/>
          <w:iCs/>
          <w:color w:val="6B7280"/>
          <w:sz w:val="22"/>
          <w:szCs w:val="22"/>
        </w:rPr>
        <w:t xml:space="preserve">Live asset URL: https://prepreneurship.com/ppship-logo.png</w:t>
      </w:r>
    </w:p>
    <w:p>
      <w:pPr>
        <w:spacing w:after="40" w:before="200" w:line="280"/>
      </w:pPr>
      <w:r>
        <w:rPr>
          <w:rFonts w:ascii="Arial" w:cs="Arial" w:eastAsia="Arial" w:hAnsi="Arial"/>
          <w:b/>
          <w:bCs/>
          <w:color w:val="F5A623"/>
          <w:spacing w:val="40"/>
          <w:sz w:val="16"/>
          <w:szCs w:val="16"/>
        </w:rPr>
        <w:t xml:space="preserve">2.2 — LOGO COLOURS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500"/>
        <w:gridCol w:w="4060"/>
      </w:tblGrid>
      <w:tr>
        <w:trPr>
          <w:tblHeader/>
        </w:trPr>
        <w:tc>
          <w:tcPr>
            <w:tcW w:type="dxa" w:w="14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pPr>
              <w:spacing w:after="80" w:before="0" w:line="280"/>
              <w:jc w:val="left"/>
            </w:pPr>
            <w:r>
              <w:rPr>
                <w:rFonts w:ascii="Arial" w:cs="Arial" w:eastAsia="Arial" w:hAnsi="Arial"/>
                <w:b/>
                <w:bCs/>
                <w:caps/>
                <w:sz w:val="18"/>
                <w:szCs w:val="18"/>
              </w:rPr>
              <w:t xml:space="preserve">SWATCH</w:t>
            </w:r>
          </w:p>
        </w:tc>
        <w:tc>
          <w:tcPr>
            <w:tcW w:type="dxa" w:w="24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8"/>
                <w:szCs w:val="18"/>
              </w:rPr>
              <w:t xml:space="preserve">NAME</w:t>
            </w:r>
          </w:p>
        </w:tc>
        <w:tc>
          <w:tcPr>
            <w:tcW w:type="dxa" w:w="15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8"/>
                <w:szCs w:val="18"/>
              </w:rPr>
              <w:t xml:space="preserve">HEX</w:t>
            </w:r>
          </w:p>
        </w:tc>
        <w:tc>
          <w:tcPr>
            <w:tcW w:type="dxa" w:w="406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8"/>
                <w:szCs w:val="18"/>
              </w:rPr>
              <w:t xml:space="preserve">USE</w:t>
            </w:r>
          </w:p>
        </w:tc>
      </w:tr>
      <w:tr>
        <w:tc>
          <w:tcPr>
            <w:tcW w:type="dxa" w:w="1400"/>
            <w:tcBorders>
              <w:top w:val="single" w:color="E5E7EB" w:sz="4"/>
              <w:left w:val="single" w:color="E5E7EB" w:sz="4"/>
              <w:bottom w:val="single" w:color="E5E7EB" w:sz="4"/>
              <w:right w:val="single" w:color="E5E7EB" w:sz="4"/>
            </w:tcBorders>
            <w:shd w:fill="F5821F" w:val="clear"/>
            <w:tcMar>
              <w:top w:type="dxa" w:w="280"/>
              <w:left w:type="dxa" w:w="160"/>
              <w:bottom w:type="dxa" w:w="280"/>
              <w:right w:type="dxa" w:w="160"/>
            </w:tcMar>
          </w:tcPr>
          <w:p>
            <w:r>
              <w:rPr>
                <w:sz w:val="16"/>
                <w:szCs w:val="16"/>
              </w:rPr>
              <w:t xml:space="preserve"/>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Arial" w:cs="Arial" w:eastAsia="Arial" w:hAnsi="Arial"/>
                <w:b/>
                <w:bCs/>
                <w:color w:val="1A3C5E"/>
                <w:sz w:val="22"/>
                <w:szCs w:val="22"/>
              </w:rPr>
              <w:t xml:space="preserve">Logo Orange</w:t>
            </w:r>
          </w:p>
        </w:tc>
        <w:tc>
          <w:tcPr>
            <w:tcW w:type="dxa" w:w="15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Consolas" w:cs="Consolas" w:eastAsia="Consolas" w:hAnsi="Consolas"/>
                <w:color w:val="111827"/>
                <w:sz w:val="21"/>
                <w:szCs w:val="21"/>
              </w:rPr>
              <w:t xml:space="preserve">#F5821F</w:t>
            </w:r>
          </w:p>
        </w:tc>
        <w:tc>
          <w:tcPr>
            <w:tcW w:type="dxa" w:w="40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Main logo emblem · deep orange gradient base</w:t>
            </w:r>
          </w:p>
        </w:tc>
      </w:tr>
      <w:tr>
        <w:tc>
          <w:tcPr>
            <w:tcW w:type="dxa" w:w="1400"/>
            <w:tcBorders>
              <w:top w:val="single" w:color="E5E7EB" w:sz="4"/>
              <w:left w:val="single" w:color="E5E7EB" w:sz="4"/>
              <w:bottom w:val="single" w:color="E5E7EB" w:sz="4"/>
              <w:right w:val="single" w:color="E5E7EB" w:sz="4"/>
            </w:tcBorders>
            <w:shd w:fill="FAA61A" w:val="clear"/>
            <w:tcMar>
              <w:top w:type="dxa" w:w="280"/>
              <w:left w:type="dxa" w:w="160"/>
              <w:bottom w:type="dxa" w:w="280"/>
              <w:right w:type="dxa" w:w="160"/>
            </w:tcMar>
          </w:tcPr>
          <w:p>
            <w:r>
              <w:rPr>
                <w:sz w:val="16"/>
                <w:szCs w:val="16"/>
              </w:rPr>
              <w:t xml:space="preserve"/>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Arial" w:cs="Arial" w:eastAsia="Arial" w:hAnsi="Arial"/>
                <w:b/>
                <w:bCs/>
                <w:color w:val="1A3C5E"/>
                <w:sz w:val="22"/>
                <w:szCs w:val="22"/>
              </w:rPr>
              <w:t xml:space="preserve">Logo Amber</w:t>
            </w:r>
          </w:p>
        </w:tc>
        <w:tc>
          <w:tcPr>
            <w:tcW w:type="dxa" w:w="15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Consolas" w:cs="Consolas" w:eastAsia="Consolas" w:hAnsi="Consolas"/>
                <w:color w:val="111827"/>
                <w:sz w:val="21"/>
                <w:szCs w:val="21"/>
              </w:rPr>
              <w:t xml:space="preserve">#FAA61A</w:t>
            </w:r>
          </w:p>
        </w:tc>
        <w:tc>
          <w:tcPr>
            <w:tcW w:type="dxa" w:w="40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Logo gradient highlight</w:t>
            </w:r>
          </w:p>
        </w:tc>
      </w:tr>
      <w:tr>
        <w:tc>
          <w:tcPr>
            <w:tcW w:type="dxa" w:w="1400"/>
            <w:tcBorders>
              <w:top w:val="single" w:color="E5E7EB" w:sz="4"/>
              <w:left w:val="single" w:color="E5E7EB" w:sz="4"/>
              <w:bottom w:val="single" w:color="E5E7EB" w:sz="4"/>
              <w:right w:val="single" w:color="E5E7EB" w:sz="4"/>
            </w:tcBorders>
            <w:shd w:fill="1A1A1A" w:val="clear"/>
            <w:tcMar>
              <w:top w:type="dxa" w:w="280"/>
              <w:left w:type="dxa" w:w="160"/>
              <w:bottom w:type="dxa" w:w="280"/>
              <w:right w:type="dxa" w:w="160"/>
            </w:tcMar>
          </w:tcPr>
          <w:p>
            <w:r>
              <w:rPr>
                <w:sz w:val="16"/>
                <w:szCs w:val="16"/>
              </w:rPr>
              <w:t xml:space="preserve"/>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Arial" w:cs="Arial" w:eastAsia="Arial" w:hAnsi="Arial"/>
                <w:b/>
                <w:bCs/>
                <w:color w:val="1A3C5E"/>
                <w:sz w:val="22"/>
                <w:szCs w:val="22"/>
              </w:rPr>
              <w:t xml:space="preserve">Wordmark Black</w:t>
            </w:r>
          </w:p>
        </w:tc>
        <w:tc>
          <w:tcPr>
            <w:tcW w:type="dxa" w:w="15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Consolas" w:cs="Consolas" w:eastAsia="Consolas" w:hAnsi="Consolas"/>
                <w:color w:val="111827"/>
                <w:sz w:val="21"/>
                <w:szCs w:val="21"/>
              </w:rPr>
              <w:t xml:space="preserve">#1A1A1A</w:t>
            </w:r>
          </w:p>
        </w:tc>
        <w:tc>
          <w:tcPr>
            <w:tcW w:type="dxa" w:w="40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Script wordmark "Pre-preneurship"</w:t>
            </w:r>
          </w:p>
        </w:tc>
      </w:tr>
    </w:tbl>
    <w:p>
      <w:pPr>
        <w:spacing w:after="0" w:before="240"/>
      </w:pPr>
      <w:r>
        <w:rPr>
          <w:sz w:val="16"/>
          <w:szCs w:val="16"/>
        </w:rPr>
        <w:t xml:space="preserve"/>
      </w:r>
    </w:p>
    <w:p>
      <w:pPr>
        <w:spacing w:after="40" w:before="200" w:line="280"/>
      </w:pPr>
      <w:r>
        <w:rPr>
          <w:rFonts w:ascii="Arial" w:cs="Arial" w:eastAsia="Arial" w:hAnsi="Arial"/>
          <w:b/>
          <w:bCs/>
          <w:color w:val="F5A623"/>
          <w:spacing w:val="40"/>
          <w:sz w:val="16"/>
          <w:szCs w:val="16"/>
        </w:rPr>
        <w:t xml:space="preserve">2.3 — LOGO USAGE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r>
              <w:rPr>
                <w:rFonts w:ascii="Arial" w:cs="Arial" w:eastAsia="Arial" w:hAnsi="Arial"/>
                <w:b/>
                <w:bCs/>
                <w:color w:val="065F46"/>
                <w:sz w:val="22"/>
                <w:szCs w:val="22"/>
              </w:rPr>
              <w:t xml:space="preserve">✓ ALWAYS</w:t>
            </w:r>
          </w:p>
        </w:tc>
        <w:tc>
          <w:tcPr>
            <w:tcW w:type="dxa" w:w="468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r>
              <w:rPr>
                <w:rFonts w:ascii="Arial" w:cs="Arial" w:eastAsia="Arial" w:hAnsi="Arial"/>
                <w:b/>
                <w:bCs/>
                <w:color w:val="C53030"/>
                <w:sz w:val="22"/>
                <w:szCs w:val="22"/>
              </w:rPr>
              <w:t xml:space="preserve">✗ NEVER</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Use on white or cream (#F0F4F8) backgrounds</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Place on busy photographic backgrounds without a protective overlay</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Use on deep navy (#1A3C5E) — reversed light version</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Stretch, skew, rotate, or distort the logo</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Maintain clear space ≥ height of the "P" letter on all sides</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Change the logo colours or apply gradients beyond the original</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Use the full lockup (emblem + wordmark + tagline) on institutional documents</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Use the emblem alone without the wordmark on institutional documents</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Scale proportionally from the master file</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Apply drop shadows, glows, outlines, or filters to the logo</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Use the emblem alone in social profile pictures and favicons</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Recreate the logo from scratch — always use the master asset</w:t>
            </w:r>
          </w:p>
        </w:tc>
      </w:tr>
    </w:tbl>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2.4 — MINIMUM SIZES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CONTEXT</w:t>
            </w:r>
          </w:p>
        </w:tc>
        <w:tc>
          <w:tcPr>
            <w:tcW w:type="dxa" w:w="312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MIN HEIGHT</w:t>
            </w:r>
          </w:p>
        </w:tc>
        <w:tc>
          <w:tcPr>
            <w:tcW w:type="dxa" w:w="312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NOTES</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Print — Document</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20 mm</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Letterhead, policy headers</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Print — Business Card</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15 mm</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Standard 85 × 55 mm card</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Slide — Header Mark</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40 px</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Top corner of every slide</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Web — Nav Bar</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48 px</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Sticky header on prepreneurship.com</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Favicon</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32 px</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Emblem only — wordmark drops out</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Social — Profile Picture</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800 × 800 px</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Emblem on navy with amber accent</w:t>
            </w:r>
          </w:p>
        </w:tc>
      </w:tr>
    </w:tbl>
    <w:p>
      <w:r>
        <w:br w:type="page"/>
      </w:r>
    </w:p>
    <w:p>
      <w:pPr>
        <w:pStyle w:val="Heading1"/>
      </w:pPr>
      <w:r>
        <w:rPr>
          <w:rFonts w:ascii="Arial" w:cs="Arial" w:eastAsia="Arial" w:hAnsi="Arial"/>
          <w:b/>
          <w:bCs/>
          <w:color w:val="1A3C5E"/>
          <w:sz w:val="36"/>
          <w:szCs w:val="36"/>
        </w:rPr>
        <w:t xml:space="preserve">3. Colour Palette</w:t>
      </w:r>
    </w:p>
    <w:p>
      <w:pPr>
        <w:pBdr>
          <w:bottom w:val="single" w:color="E5E7EB" w:sz="6" w:space="1"/>
        </w:pBdr>
        <w:spacing w:after="100" w:before="100"/>
      </w:pPr>
      <w:r>
        <w:rPr>
          <w:sz w:val="4"/>
          <w:szCs w:val="4"/>
        </w:rPr>
        <w:t xml:space="preserve"/>
      </w:r>
    </w:p>
    <w:p>
      <w:pPr>
        <w:spacing w:after="200" w:before="0" w:line="280"/>
        <w:jc w:val="left"/>
      </w:pPr>
      <w:r>
        <w:rPr>
          <w:rFonts w:ascii="Arial" w:cs="Arial" w:eastAsia="Arial" w:hAnsi="Arial"/>
          <w:color w:val="6B7280"/>
          <w:sz w:val="22"/>
          <w:szCs w:val="22"/>
        </w:rPr>
        <w:t xml:space="preserve">The official palette is locked. These are the only brand colours permitted in any output. The amber accent aligns directly with the logo emblem.</w:t>
      </w:r>
    </w:p>
    <w:p>
      <w:pPr>
        <w:spacing w:after="40" w:before="200" w:line="280"/>
      </w:pPr>
      <w:r>
        <w:rPr>
          <w:rFonts w:ascii="Arial" w:cs="Arial" w:eastAsia="Arial" w:hAnsi="Arial"/>
          <w:b/>
          <w:bCs/>
          <w:color w:val="F5A623"/>
          <w:spacing w:val="40"/>
          <w:sz w:val="16"/>
          <w:szCs w:val="16"/>
        </w:rPr>
        <w:t xml:space="preserve">3.1 — PRIMARY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1500"/>
        <w:gridCol w:w="4060"/>
      </w:tblGrid>
      <w:tr>
        <w:trPr>
          <w:tblHeader/>
        </w:trPr>
        <w:tc>
          <w:tcPr>
            <w:tcW w:type="dxa" w:w="14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8"/>
                <w:szCs w:val="18"/>
              </w:rPr>
              <w:t xml:space="preserve">SWATCH</w:t>
            </w:r>
          </w:p>
        </w:tc>
        <w:tc>
          <w:tcPr>
            <w:tcW w:type="dxa" w:w="24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8"/>
                <w:szCs w:val="18"/>
              </w:rPr>
              <w:t xml:space="preserve">NAME</w:t>
            </w:r>
          </w:p>
        </w:tc>
        <w:tc>
          <w:tcPr>
            <w:tcW w:type="dxa" w:w="15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8"/>
                <w:szCs w:val="18"/>
              </w:rPr>
              <w:t xml:space="preserve">HEX</w:t>
            </w:r>
          </w:p>
        </w:tc>
        <w:tc>
          <w:tcPr>
            <w:tcW w:type="dxa" w:w="406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8"/>
                <w:szCs w:val="18"/>
              </w:rPr>
              <w:t xml:space="preserve">PRIMARY USE</w:t>
            </w:r>
          </w:p>
        </w:tc>
      </w:tr>
      <w:tr>
        <w:tc>
          <w:tcPr>
            <w:tcW w:type="dxa" w:w="1400"/>
            <w:tcBorders>
              <w:top w:val="single" w:color="E5E7EB" w:sz="4"/>
              <w:left w:val="single" w:color="E5E7EB" w:sz="4"/>
              <w:bottom w:val="single" w:color="E5E7EB" w:sz="4"/>
              <w:right w:val="single" w:color="E5E7EB" w:sz="4"/>
            </w:tcBorders>
            <w:shd w:fill="1A3C5E" w:val="clear"/>
            <w:tcMar>
              <w:top w:type="dxa" w:w="280"/>
              <w:left w:type="dxa" w:w="160"/>
              <w:bottom w:type="dxa" w:w="280"/>
              <w:right w:type="dxa" w:w="160"/>
            </w:tcMar>
          </w:tcPr>
          <w:p>
            <w:r>
              <w:rPr>
                <w:sz w:val="16"/>
                <w:szCs w:val="16"/>
              </w:rPr>
              <w:t xml:space="preserve"/>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Arial" w:cs="Arial" w:eastAsia="Arial" w:hAnsi="Arial"/>
                <w:b/>
                <w:bCs/>
                <w:color w:val="1A3C5E"/>
                <w:sz w:val="22"/>
                <w:szCs w:val="22"/>
              </w:rPr>
              <w:t xml:space="preserve">Deep Navy</w:t>
            </w:r>
          </w:p>
        </w:tc>
        <w:tc>
          <w:tcPr>
            <w:tcW w:type="dxa" w:w="15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Consolas" w:cs="Consolas" w:eastAsia="Consolas" w:hAnsi="Consolas"/>
                <w:color w:val="111827"/>
                <w:sz w:val="21"/>
                <w:szCs w:val="21"/>
              </w:rPr>
              <w:t xml:space="preserve">#1A3C5E</w:t>
            </w:r>
          </w:p>
        </w:tc>
        <w:tc>
          <w:tcPr>
            <w:tcW w:type="dxa" w:w="40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Hero backgrounds, headers, slide darks, primary brand</w:t>
            </w:r>
          </w:p>
        </w:tc>
      </w:tr>
      <w:tr>
        <w:tc>
          <w:tcPr>
            <w:tcW w:type="dxa" w:w="1400"/>
            <w:tcBorders>
              <w:top w:val="single" w:color="E5E7EB" w:sz="4"/>
              <w:left w:val="single" w:color="E5E7EB" w:sz="4"/>
              <w:bottom w:val="single" w:color="E5E7EB" w:sz="4"/>
              <w:right w:val="single" w:color="E5E7EB" w:sz="4"/>
            </w:tcBorders>
            <w:shd w:fill="0E2540" w:val="clear"/>
            <w:tcMar>
              <w:top w:type="dxa" w:w="280"/>
              <w:left w:type="dxa" w:w="160"/>
              <w:bottom w:type="dxa" w:w="280"/>
              <w:right w:type="dxa" w:w="160"/>
            </w:tcMar>
          </w:tcPr>
          <w:p>
            <w:r>
              <w:rPr>
                <w:sz w:val="16"/>
                <w:szCs w:val="16"/>
              </w:rPr>
              <w:t xml:space="preserve"/>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Arial" w:cs="Arial" w:eastAsia="Arial" w:hAnsi="Arial"/>
                <w:b/>
                <w:bCs/>
                <w:color w:val="1A3C5E"/>
                <w:sz w:val="22"/>
                <w:szCs w:val="22"/>
              </w:rPr>
              <w:t xml:space="preserve">Navy Deep</w:t>
            </w:r>
          </w:p>
        </w:tc>
        <w:tc>
          <w:tcPr>
            <w:tcW w:type="dxa" w:w="15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Consolas" w:cs="Consolas" w:eastAsia="Consolas" w:hAnsi="Consolas"/>
                <w:color w:val="111827"/>
                <w:sz w:val="21"/>
                <w:szCs w:val="21"/>
              </w:rPr>
              <w:t xml:space="preserve">#0E2540</w:t>
            </w:r>
          </w:p>
        </w:tc>
        <w:tc>
          <w:tcPr>
            <w:tcW w:type="dxa" w:w="40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Footer, gradient base, announcement bars</w:t>
            </w:r>
          </w:p>
        </w:tc>
      </w:tr>
      <w:tr>
        <w:tc>
          <w:tcPr>
            <w:tcW w:type="dxa" w:w="1400"/>
            <w:tcBorders>
              <w:top w:val="single" w:color="E5E7EB" w:sz="4"/>
              <w:left w:val="single" w:color="E5E7EB" w:sz="4"/>
              <w:bottom w:val="single" w:color="E5E7EB" w:sz="4"/>
              <w:right w:val="single" w:color="E5E7EB" w:sz="4"/>
            </w:tcBorders>
            <w:shd w:fill="F5A623" w:val="clear"/>
            <w:tcMar>
              <w:top w:type="dxa" w:w="280"/>
              <w:left w:type="dxa" w:w="160"/>
              <w:bottom w:type="dxa" w:w="280"/>
              <w:right w:type="dxa" w:w="160"/>
            </w:tcMar>
          </w:tcPr>
          <w:p>
            <w:r>
              <w:rPr>
                <w:sz w:val="16"/>
                <w:szCs w:val="16"/>
              </w:rPr>
              <w:t xml:space="preserve"/>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Arial" w:cs="Arial" w:eastAsia="Arial" w:hAnsi="Arial"/>
                <w:b/>
                <w:bCs/>
                <w:color w:val="1A3C5E"/>
                <w:sz w:val="22"/>
                <w:szCs w:val="22"/>
              </w:rPr>
              <w:t xml:space="preserve">Amber Orange</w:t>
            </w:r>
          </w:p>
        </w:tc>
        <w:tc>
          <w:tcPr>
            <w:tcW w:type="dxa" w:w="15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Consolas" w:cs="Consolas" w:eastAsia="Consolas" w:hAnsi="Consolas"/>
                <w:color w:val="111827"/>
                <w:sz w:val="21"/>
                <w:szCs w:val="21"/>
              </w:rPr>
              <w:t xml:space="preserve">#F5A623</w:t>
            </w:r>
          </w:p>
        </w:tc>
        <w:tc>
          <w:tcPr>
            <w:tcW w:type="dxa" w:w="40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CTAs, accent bars, highlights, callouts</w:t>
            </w:r>
          </w:p>
        </w:tc>
      </w:tr>
      <w:tr>
        <w:tc>
          <w:tcPr>
            <w:tcW w:type="dxa" w:w="1400"/>
            <w:tcBorders>
              <w:top w:val="single" w:color="E5E7EB" w:sz="4"/>
              <w:left w:val="single" w:color="E5E7EB" w:sz="4"/>
              <w:bottom w:val="single" w:color="E5E7EB" w:sz="4"/>
              <w:right w:val="single" w:color="E5E7EB" w:sz="4"/>
            </w:tcBorders>
            <w:shd w:fill="F0F4F8" w:val="clear"/>
            <w:tcMar>
              <w:top w:type="dxa" w:w="280"/>
              <w:left w:type="dxa" w:w="160"/>
              <w:bottom w:type="dxa" w:w="280"/>
              <w:right w:type="dxa" w:w="160"/>
            </w:tcMar>
          </w:tcPr>
          <w:p>
            <w:r>
              <w:rPr>
                <w:sz w:val="16"/>
                <w:szCs w:val="16"/>
              </w:rPr>
              <w:t xml:space="preserve"/>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Arial" w:cs="Arial" w:eastAsia="Arial" w:hAnsi="Arial"/>
                <w:b/>
                <w:bCs/>
                <w:color w:val="1A3C5E"/>
                <w:sz w:val="22"/>
                <w:szCs w:val="22"/>
              </w:rPr>
              <w:t xml:space="preserve">Cool Cream</w:t>
            </w:r>
          </w:p>
        </w:tc>
        <w:tc>
          <w:tcPr>
            <w:tcW w:type="dxa" w:w="15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Consolas" w:cs="Consolas" w:eastAsia="Consolas" w:hAnsi="Consolas"/>
                <w:color w:val="111827"/>
                <w:sz w:val="21"/>
                <w:szCs w:val="21"/>
              </w:rPr>
              <w:t xml:space="preserve">#F0F4F8</w:t>
            </w:r>
          </w:p>
        </w:tc>
        <w:tc>
          <w:tcPr>
            <w:tcW w:type="dxa" w:w="40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Light section backgrounds, card grounds</w:t>
            </w:r>
          </w:p>
        </w:tc>
      </w:tr>
      <w:tr>
        <w:tc>
          <w:tcPr>
            <w:tcW w:type="dxa" w:w="1400"/>
            <w:tcBorders>
              <w:top w:val="single" w:color="E5E7EB" w:sz="4"/>
              <w:left w:val="single" w:color="E5E7EB" w:sz="4"/>
              <w:bottom w:val="single" w:color="E5E7EB" w:sz="4"/>
              <w:right w:val="single" w:color="E5E7EB" w:sz="4"/>
            </w:tcBorders>
            <w:shd w:fill="111827" w:val="clear"/>
            <w:tcMar>
              <w:top w:type="dxa" w:w="280"/>
              <w:left w:type="dxa" w:w="160"/>
              <w:bottom w:type="dxa" w:w="280"/>
              <w:right w:type="dxa" w:w="160"/>
            </w:tcMar>
          </w:tcPr>
          <w:p>
            <w:r>
              <w:rPr>
                <w:sz w:val="16"/>
                <w:szCs w:val="16"/>
              </w:rPr>
              <w:t xml:space="preserve"/>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Arial" w:cs="Arial" w:eastAsia="Arial" w:hAnsi="Arial"/>
                <w:b/>
                <w:bCs/>
                <w:color w:val="1A3C5E"/>
                <w:sz w:val="22"/>
                <w:szCs w:val="22"/>
              </w:rPr>
              <w:t xml:space="preserve">Near Black</w:t>
            </w:r>
          </w:p>
        </w:tc>
        <w:tc>
          <w:tcPr>
            <w:tcW w:type="dxa" w:w="15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Consolas" w:cs="Consolas" w:eastAsia="Consolas" w:hAnsi="Consolas"/>
                <w:color w:val="111827"/>
                <w:sz w:val="21"/>
                <w:szCs w:val="21"/>
              </w:rPr>
              <w:t xml:space="preserve">#111827</w:t>
            </w:r>
          </w:p>
        </w:tc>
        <w:tc>
          <w:tcPr>
            <w:tcW w:type="dxa" w:w="40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Body text, data labels, table content</w:t>
            </w:r>
          </w:p>
        </w:tc>
      </w:tr>
      <w:tr>
        <w:tc>
          <w:tcPr>
            <w:tcW w:type="dxa" w:w="1400"/>
            <w:tcBorders>
              <w:top w:val="single" w:color="E5E7EB" w:sz="4"/>
              <w:left w:val="single" w:color="E5E7EB" w:sz="4"/>
              <w:bottom w:val="single" w:color="E5E7EB" w:sz="4"/>
              <w:right w:val="single" w:color="E5E7EB" w:sz="4"/>
            </w:tcBorders>
            <w:shd w:fill="6B7280" w:val="clear"/>
            <w:tcMar>
              <w:top w:type="dxa" w:w="280"/>
              <w:left w:type="dxa" w:w="160"/>
              <w:bottom w:type="dxa" w:w="280"/>
              <w:right w:type="dxa" w:w="160"/>
            </w:tcMar>
          </w:tcPr>
          <w:p>
            <w:r>
              <w:rPr>
                <w:sz w:val="16"/>
                <w:szCs w:val="16"/>
              </w:rPr>
              <w:t xml:space="preserve"/>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Arial" w:cs="Arial" w:eastAsia="Arial" w:hAnsi="Arial"/>
                <w:b/>
                <w:bCs/>
                <w:color w:val="1A3C5E"/>
                <w:sz w:val="22"/>
                <w:szCs w:val="22"/>
              </w:rPr>
              <w:t xml:space="preserve">Mid Grey</w:t>
            </w:r>
          </w:p>
        </w:tc>
        <w:tc>
          <w:tcPr>
            <w:tcW w:type="dxa" w:w="15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Consolas" w:cs="Consolas" w:eastAsia="Consolas" w:hAnsi="Consolas"/>
                <w:color w:val="111827"/>
                <w:sz w:val="21"/>
                <w:szCs w:val="21"/>
              </w:rPr>
              <w:t xml:space="preserve">#6B7280</w:t>
            </w:r>
          </w:p>
        </w:tc>
        <w:tc>
          <w:tcPr>
            <w:tcW w:type="dxa" w:w="40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Captions, footnotes, secondary text</w:t>
            </w:r>
          </w:p>
        </w:tc>
      </w:tr>
      <w:tr>
        <w:tc>
          <w:tcPr>
            <w:tcW w:type="dxa" w:w="1400"/>
            <w:tcBorders>
              <w:top w:val="single" w:color="E5E7EB" w:sz="4"/>
              <w:left w:val="single" w:color="E5E7EB" w:sz="4"/>
              <w:bottom w:val="single" w:color="E5E7EB" w:sz="4"/>
              <w:right w:val="single" w:color="E5E7EB" w:sz="4"/>
            </w:tcBorders>
            <w:shd w:fill="065F46" w:val="clear"/>
            <w:tcMar>
              <w:top w:type="dxa" w:w="280"/>
              <w:left w:type="dxa" w:w="160"/>
              <w:bottom w:type="dxa" w:w="280"/>
              <w:right w:type="dxa" w:w="160"/>
            </w:tcMar>
          </w:tcPr>
          <w:p>
            <w:r>
              <w:rPr>
                <w:sz w:val="16"/>
                <w:szCs w:val="16"/>
              </w:rPr>
              <w:t xml:space="preserve"/>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Arial" w:cs="Arial" w:eastAsia="Arial" w:hAnsi="Arial"/>
                <w:b/>
                <w:bCs/>
                <w:color w:val="1A3C5E"/>
                <w:sz w:val="22"/>
                <w:szCs w:val="22"/>
              </w:rPr>
              <w:t xml:space="preserve">Deep Green</w:t>
            </w:r>
          </w:p>
        </w:tc>
        <w:tc>
          <w:tcPr>
            <w:tcW w:type="dxa" w:w="15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Consolas" w:cs="Consolas" w:eastAsia="Consolas" w:hAnsi="Consolas"/>
                <w:color w:val="111827"/>
                <w:sz w:val="21"/>
                <w:szCs w:val="21"/>
              </w:rPr>
              <w:t xml:space="preserve">#065F46</w:t>
            </w:r>
          </w:p>
        </w:tc>
        <w:tc>
          <w:tcPr>
            <w:tcW w:type="dxa" w:w="40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Positive KPIs, "Live" status, success ticks</w:t>
            </w:r>
          </w:p>
        </w:tc>
      </w:tr>
      <w:tr>
        <w:tc>
          <w:tcPr>
            <w:tcW w:type="dxa" w:w="1400"/>
            <w:tcBorders>
              <w:top w:val="single" w:color="E5E7EB" w:sz="4"/>
              <w:left w:val="single" w:color="E5E7EB" w:sz="4"/>
              <w:bottom w:val="single" w:color="E5E7EB" w:sz="4"/>
              <w:right w:val="single" w:color="E5E7EB" w:sz="4"/>
            </w:tcBorders>
            <w:shd w:fill="FFFFFF" w:val="clear"/>
            <w:tcMar>
              <w:top w:type="dxa" w:w="280"/>
              <w:left w:type="dxa" w:w="160"/>
              <w:bottom w:type="dxa" w:w="280"/>
              <w:right w:type="dxa" w:w="160"/>
            </w:tcMar>
          </w:tcPr>
          <w:p>
            <w:r>
              <w:rPr>
                <w:sz w:val="16"/>
                <w:szCs w:val="16"/>
              </w:rPr>
              <w:t xml:space="preserve"/>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Arial" w:cs="Arial" w:eastAsia="Arial" w:hAnsi="Arial"/>
                <w:b/>
                <w:bCs/>
                <w:color w:val="1A3C5E"/>
                <w:sz w:val="22"/>
                <w:szCs w:val="22"/>
              </w:rPr>
              <w:t xml:space="preserve">Clean White</w:t>
            </w:r>
          </w:p>
        </w:tc>
        <w:tc>
          <w:tcPr>
            <w:tcW w:type="dxa" w:w="15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Consolas" w:cs="Consolas" w:eastAsia="Consolas" w:hAnsi="Consolas"/>
                <w:color w:val="111827"/>
                <w:sz w:val="21"/>
                <w:szCs w:val="21"/>
              </w:rPr>
              <w:t xml:space="preserve">#FFFFFF</w:t>
            </w:r>
          </w:p>
        </w:tc>
        <w:tc>
          <w:tcPr>
            <w:tcW w:type="dxa" w:w="40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Card backgrounds, reversed text on dark</w:t>
            </w:r>
          </w:p>
        </w:tc>
      </w:tr>
      <w:tr>
        <w:tc>
          <w:tcPr>
            <w:tcW w:type="dxa" w:w="1400"/>
            <w:tcBorders>
              <w:top w:val="single" w:color="E5E7EB" w:sz="4"/>
              <w:left w:val="single" w:color="E5E7EB" w:sz="4"/>
              <w:bottom w:val="single" w:color="E5E7EB" w:sz="4"/>
              <w:right w:val="single" w:color="E5E7EB" w:sz="4"/>
            </w:tcBorders>
            <w:shd w:fill="2D3748" w:val="clear"/>
            <w:tcMar>
              <w:top w:type="dxa" w:w="280"/>
              <w:left w:type="dxa" w:w="160"/>
              <w:bottom w:type="dxa" w:w="280"/>
              <w:right w:type="dxa" w:w="160"/>
            </w:tcMar>
          </w:tcPr>
          <w:p>
            <w:r>
              <w:rPr>
                <w:sz w:val="16"/>
                <w:szCs w:val="16"/>
              </w:rPr>
              <w:t xml:space="preserve"/>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Arial" w:cs="Arial" w:eastAsia="Arial" w:hAnsi="Arial"/>
                <w:b/>
                <w:bCs/>
                <w:color w:val="1A3C5E"/>
                <w:sz w:val="22"/>
                <w:szCs w:val="22"/>
              </w:rPr>
              <w:t xml:space="preserve">Dark Charcoal</w:t>
            </w:r>
          </w:p>
        </w:tc>
        <w:tc>
          <w:tcPr>
            <w:tcW w:type="dxa" w:w="15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r>
              <w:rPr>
                <w:rFonts w:ascii="Consolas" w:cs="Consolas" w:eastAsia="Consolas" w:hAnsi="Consolas"/>
                <w:color w:val="111827"/>
                <w:sz w:val="21"/>
                <w:szCs w:val="21"/>
              </w:rPr>
              <w:t xml:space="preserve">#2D3748</w:t>
            </w:r>
          </w:p>
        </w:tc>
        <w:tc>
          <w:tcPr>
            <w:tcW w:type="dxa" w:w="40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Card backgrounds on dark slides, table alternates</w:t>
            </w:r>
          </w:p>
        </w:tc>
      </w:tr>
    </w:tbl>
    <w:p>
      <w:pPr>
        <w:spacing w:after="0" w:before="240"/>
      </w:pPr>
      <w:r>
        <w:rPr>
          <w:sz w:val="16"/>
          <w:szCs w:val="16"/>
        </w:rPr>
        <w:t xml:space="preserve"/>
      </w:r>
    </w:p>
    <w:p>
      <w:pPr>
        <w:spacing w:after="40" w:before="200" w:line="280"/>
      </w:pPr>
      <w:r>
        <w:rPr>
          <w:rFonts w:ascii="Arial" w:cs="Arial" w:eastAsia="Arial" w:hAnsi="Arial"/>
          <w:b/>
          <w:bCs/>
          <w:color w:val="F5A623"/>
          <w:spacing w:val="40"/>
          <w:sz w:val="16"/>
          <w:szCs w:val="16"/>
        </w:rPr>
        <w:t xml:space="preserve">3.2 — COLOUR USAGE PRINCIPLES</w:t>
      </w:r>
    </w:p>
    <w:p>
      <w:pPr>
        <w:pStyle w:val="ListParagraph"/>
        <w:numPr>
          <w:ilvl w:val="0"/>
          <w:numId w:val="2"/>
        </w:numPr>
        <w:spacing w:after="60" w:before="0" w:line="280"/>
      </w:pPr>
      <w:r>
        <w:rPr>
          <w:rFonts w:ascii="Arial" w:cs="Arial" w:eastAsia="Arial" w:hAnsi="Arial"/>
          <w:sz w:val="22"/>
          <w:szCs w:val="22"/>
        </w:rPr>
        <w:t xml:space="preserve">Navy dominates (60–70% visual weight) on dark slides; cream/white on content slides</w:t>
      </w:r>
    </w:p>
    <w:p>
      <w:pPr>
        <w:pStyle w:val="ListParagraph"/>
        <w:numPr>
          <w:ilvl w:val="0"/>
          <w:numId w:val="2"/>
        </w:numPr>
        <w:spacing w:after="60" w:before="0" w:line="280"/>
      </w:pPr>
      <w:r>
        <w:rPr>
          <w:rFonts w:ascii="Arial" w:cs="Arial" w:eastAsia="Arial" w:hAnsi="Arial"/>
          <w:sz w:val="22"/>
          <w:szCs w:val="22"/>
        </w:rPr>
        <w:t xml:space="preserve">Amber is the singular accent — used for CTAs, icons, accent bars, callouts. Never as a large background field</w:t>
      </w:r>
    </w:p>
    <w:p>
      <w:pPr>
        <w:pStyle w:val="ListParagraph"/>
        <w:numPr>
          <w:ilvl w:val="0"/>
          <w:numId w:val="2"/>
        </w:numPr>
        <w:spacing w:after="60" w:before="0" w:line="280"/>
      </w:pPr>
      <w:r>
        <w:rPr>
          <w:rFonts w:ascii="Arial" w:cs="Arial" w:eastAsia="Arial" w:hAnsi="Arial"/>
          <w:sz w:val="22"/>
          <w:szCs w:val="22"/>
        </w:rPr>
        <w:t xml:space="preserve">Never use bright generic blues, purples, teals, or rainbow gradients</w:t>
      </w:r>
    </w:p>
    <w:p>
      <w:pPr>
        <w:pStyle w:val="ListParagraph"/>
        <w:numPr>
          <w:ilvl w:val="0"/>
          <w:numId w:val="2"/>
        </w:numPr>
        <w:spacing w:after="60" w:before="0" w:line="280"/>
      </w:pPr>
      <w:r>
        <w:rPr>
          <w:rFonts w:ascii="Arial" w:cs="Arial" w:eastAsia="Arial" w:hAnsi="Arial"/>
          <w:sz w:val="22"/>
          <w:szCs w:val="22"/>
        </w:rPr>
        <w:t xml:space="preserve">On navy backgrounds: white text for body, amber for highlights and CTAs</w:t>
      </w:r>
    </w:p>
    <w:p>
      <w:pPr>
        <w:pStyle w:val="ListParagraph"/>
        <w:numPr>
          <w:ilvl w:val="0"/>
          <w:numId w:val="2"/>
        </w:numPr>
        <w:spacing w:after="60" w:before="0" w:line="280"/>
      </w:pPr>
      <w:r>
        <w:rPr>
          <w:rFonts w:ascii="Arial" w:cs="Arial" w:eastAsia="Arial" w:hAnsi="Arial"/>
          <w:sz w:val="22"/>
          <w:szCs w:val="22"/>
        </w:rPr>
        <w:t xml:space="preserve">On cream/white backgrounds: navy for headings, ink-near-black for body</w:t>
      </w:r>
    </w:p>
    <w:p>
      <w:pPr>
        <w:pStyle w:val="ListParagraph"/>
        <w:numPr>
          <w:ilvl w:val="0"/>
          <w:numId w:val="2"/>
        </w:numPr>
        <w:spacing w:after="60" w:before="0" w:line="280"/>
      </w:pPr>
      <w:r>
        <w:rPr>
          <w:rFonts w:ascii="Arial" w:cs="Arial" w:eastAsia="Arial" w:hAnsi="Arial"/>
          <w:sz w:val="22"/>
          <w:szCs w:val="22"/>
        </w:rPr>
        <w:t xml:space="preserve">Green is reserved for status indicators only — not as a brand colour</w:t>
      </w:r>
    </w:p>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3.3 — RETIRED COLOURS (DO NOT USE)</w:t>
      </w:r>
    </w:p>
    <w:p>
      <w:pPr>
        <w:spacing w:after="120" w:before="0" w:line="280"/>
        <w:jc w:val="left"/>
      </w:pPr>
      <w:r>
        <w:rPr>
          <w:rFonts w:ascii="Arial" w:cs="Arial" w:eastAsia="Arial" w:hAnsi="Arial"/>
          <w:i/>
          <w:iCs/>
          <w:color w:val="6B7280"/>
          <w:sz w:val="22"/>
          <w:szCs w:val="22"/>
        </w:rPr>
        <w:t xml:space="preserve">Colours that appeared in earlier working drafts. These are no longer brand colours. Replace on sight.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E5E7EB" w:sz="4"/>
              <w:left w:val="single" w:color="E5E7EB" w:sz="4"/>
              <w:bottom w:val="single" w:color="E5E7EB" w:sz="4"/>
              <w:right w:val="single" w:color="E5E7EB" w:sz="4"/>
            </w:tcBorders>
            <w:shd w:fill="C53030"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OLD (RETIRE)</w:t>
            </w:r>
          </w:p>
        </w:tc>
        <w:tc>
          <w:tcPr>
            <w:tcW w:type="dxa" w:w="3120"/>
            <w:tcBorders>
              <w:top w:val="single" w:color="E5E7EB" w:sz="4"/>
              <w:left w:val="single" w:color="E5E7EB" w:sz="4"/>
              <w:bottom w:val="single" w:color="E5E7EB" w:sz="4"/>
              <w:right w:val="single" w:color="E5E7EB" w:sz="4"/>
            </w:tcBorders>
            <w:shd w:fill="065F46"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OFFICIAL REPLACEMENT</w:t>
            </w:r>
          </w:p>
        </w:tc>
        <w:tc>
          <w:tcPr>
            <w:tcW w:type="dxa" w:w="312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WHERE FOUND</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Gold #C9A84C</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Amber Orange #F5A623</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Earlier investor decks</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Teal #0D7377</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Deep Navy #1A3C5E</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Working assumption — never a brand colour</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Darker navy #1B2A4A</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Deep Navy #1A3C5E</w:t>
            </w:r>
          </w:p>
        </w:tc>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Older working files</w:t>
            </w:r>
          </w:p>
        </w:tc>
      </w:tr>
    </w:tbl>
    <w:p>
      <w:r>
        <w:br w:type="page"/>
      </w:r>
    </w:p>
    <w:p>
      <w:pPr>
        <w:pStyle w:val="Heading1"/>
      </w:pPr>
      <w:r>
        <w:rPr>
          <w:rFonts w:ascii="Arial" w:cs="Arial" w:eastAsia="Arial" w:hAnsi="Arial"/>
          <w:b/>
          <w:bCs/>
          <w:color w:val="1A3C5E"/>
          <w:sz w:val="36"/>
          <w:szCs w:val="36"/>
        </w:rPr>
        <w:t xml:space="preserve">4. Typography</w:t>
      </w:r>
    </w:p>
    <w:p>
      <w:pPr>
        <w:pBdr>
          <w:bottom w:val="single" w:color="E5E7EB" w:sz="6" w:space="1"/>
        </w:pBdr>
        <w:spacing w:after="100" w:before="100"/>
      </w:pPr>
      <w:r>
        <w:rPr>
          <w:sz w:val="4"/>
          <w:szCs w:val="4"/>
        </w:rPr>
        <w:t xml:space="preserve"/>
      </w:r>
    </w:p>
    <w:p>
      <w:pPr>
        <w:spacing w:after="40" w:before="200" w:line="280"/>
      </w:pPr>
      <w:r>
        <w:rPr>
          <w:rFonts w:ascii="Arial" w:cs="Arial" w:eastAsia="Arial" w:hAnsi="Arial"/>
          <w:b/>
          <w:bCs/>
          <w:color w:val="F5A623"/>
          <w:spacing w:val="40"/>
          <w:sz w:val="16"/>
          <w:szCs w:val="16"/>
        </w:rPr>
        <w:t xml:space="preserve">4.1 — FONT FAMILIES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ROLE</w:t>
            </w:r>
          </w:p>
        </w:tc>
        <w:tc>
          <w:tcPr>
            <w:tcW w:type="dxa" w:w="24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PRIMARY</w:t>
            </w:r>
          </w:p>
        </w:tc>
        <w:tc>
          <w:tcPr>
            <w:tcW w:type="dxa" w:w="24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WEB FALLBACK</w:t>
            </w:r>
          </w:p>
        </w:tc>
        <w:tc>
          <w:tcPr>
            <w:tcW w:type="dxa" w:w="216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PRINT/DOC</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Display / Hero</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Sora</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19"/>
                <w:szCs w:val="19"/>
              </w:rPr>
              <w:t xml:space="preserve">-apple-system, system-ui, sans-serif</w:t>
            </w:r>
          </w:p>
        </w:tc>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Arial Bold</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Body / UI</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Inter</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19"/>
                <w:szCs w:val="19"/>
              </w:rPr>
              <w:t xml:space="preserve">-apple-system, BlinkMacSystemFont, sans-serif</w:t>
            </w:r>
          </w:p>
        </w:tc>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Arial</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Editorial Italic</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Instrument Serif</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19"/>
                <w:szCs w:val="19"/>
              </w:rPr>
              <w:t xml:space="preserve">Iowan Old Style, Georgia, serif</w:t>
            </w:r>
          </w:p>
        </w:tc>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Georgia Italic</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Universal Documents</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Arial</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1"/>
                <w:szCs w:val="21"/>
              </w:rPr>
              <w:t xml:space="preserve">—</w:t>
            </w:r>
          </w:p>
        </w:tc>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Arial</w:t>
            </w:r>
          </w:p>
        </w:tc>
      </w:tr>
    </w:tbl>
    <w:p>
      <w:pPr>
        <w:spacing w:after="0" w:before="160"/>
      </w:pPr>
      <w:r>
        <w:rPr>
          <w:sz w:val="16"/>
          <w:szCs w:val="16"/>
        </w:rPr>
        <w:t xml:space="preserve"/>
      </w:r>
    </w:p>
    <w:p>
      <w:pPr>
        <w:spacing w:after="200" w:before="0" w:line="280"/>
        <w:jc w:val="left"/>
      </w:pPr>
      <w:r>
        <w:rPr>
          <w:rFonts w:ascii="Arial" w:cs="Arial" w:eastAsia="Arial" w:hAnsi="Arial"/>
          <w:i/>
          <w:iCs/>
          <w:color w:val="6B7280"/>
          <w:sz w:val="20"/>
          <w:szCs w:val="20"/>
        </w:rPr>
        <w:t xml:space="preserve">Editorial italic (Instrument Serif) is used sparingly for emphasis on landing pages and slides. Body and UI text never appears in serif. Print documents default to Arial for universal compatibility across machines.</w:t>
      </w:r>
    </w:p>
    <w:p>
      <w:pPr>
        <w:spacing w:after="40" w:before="200" w:line="280"/>
      </w:pPr>
      <w:r>
        <w:rPr>
          <w:rFonts w:ascii="Arial" w:cs="Arial" w:eastAsia="Arial" w:hAnsi="Arial"/>
          <w:b/>
          <w:bCs/>
          <w:color w:val="F5A623"/>
          <w:spacing w:val="40"/>
          <w:sz w:val="16"/>
          <w:szCs w:val="16"/>
        </w:rPr>
        <w:t xml:space="preserve">4.2 — TYPE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400"/>
        <w:gridCol w:w="2400"/>
        <w:gridCol w:w="2400"/>
      </w:tblGrid>
      <w:tr>
        <w:trPr>
          <w:tblHeader/>
        </w:trPr>
        <w:tc>
          <w:tcPr>
            <w:tcW w:type="dxa" w:w="216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ELEMENT</w:t>
            </w:r>
          </w:p>
        </w:tc>
        <w:tc>
          <w:tcPr>
            <w:tcW w:type="dxa" w:w="24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WEB (PX)</w:t>
            </w:r>
          </w:p>
        </w:tc>
        <w:tc>
          <w:tcPr>
            <w:tcW w:type="dxa" w:w="24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SLIDE (PT)</w:t>
            </w:r>
          </w:p>
        </w:tc>
        <w:tc>
          <w:tcPr>
            <w:tcW w:type="dxa" w:w="24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DOC (PT)</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Hero / H1</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56–72</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36–44</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24–28</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Section H2</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36–48</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24–30</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18–22</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H3 Subhead</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22–32</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18–22</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14–16</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H4 Card Title</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18–24</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14–16</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12–14</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Body</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16–18 / 1.6 line-height</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11–12</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10–11</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Caption / Eyebrow</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11–14 / spaced caps</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9–10</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9</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CTA / Button</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14–16 / medium</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12–13 bold</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1"/>
                <w:szCs w:val="21"/>
              </w:rPr>
              <w:t xml:space="preserve">—</w:t>
            </w:r>
          </w:p>
        </w:tc>
      </w:tr>
    </w:tbl>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4.3 — TYPOGRAPHY RULES</w:t>
      </w:r>
    </w:p>
    <w:p>
      <w:pPr>
        <w:pStyle w:val="ListParagraph"/>
        <w:numPr>
          <w:ilvl w:val="0"/>
          <w:numId w:val="2"/>
        </w:numPr>
        <w:spacing w:after="60" w:before="0" w:line="280"/>
      </w:pPr>
      <w:r>
        <w:rPr>
          <w:rFonts w:ascii="Arial" w:cs="Arial" w:eastAsia="Arial" w:hAnsi="Arial"/>
          <w:sz w:val="22"/>
          <w:szCs w:val="22"/>
        </w:rPr>
        <w:t xml:space="preserve">Headlines use the display font (Sora), never the body font</w:t>
      </w:r>
    </w:p>
    <w:p>
      <w:pPr>
        <w:pStyle w:val="ListParagraph"/>
        <w:numPr>
          <w:ilvl w:val="0"/>
          <w:numId w:val="2"/>
        </w:numPr>
        <w:spacing w:after="60" w:before="0" w:line="280"/>
      </w:pPr>
      <w:r>
        <w:rPr>
          <w:rFonts w:ascii="Arial" w:cs="Arial" w:eastAsia="Arial" w:hAnsi="Arial"/>
          <w:sz w:val="22"/>
          <w:szCs w:val="22"/>
        </w:rPr>
        <w:t xml:space="preserve">Letter-spacing on headlines: -0.025em to -0.04em (negative tracking)</w:t>
      </w:r>
    </w:p>
    <w:p>
      <w:pPr>
        <w:pStyle w:val="ListParagraph"/>
        <w:numPr>
          <w:ilvl w:val="0"/>
          <w:numId w:val="2"/>
        </w:numPr>
        <w:spacing w:after="60" w:before="0" w:line="280"/>
      </w:pPr>
      <w:r>
        <w:rPr>
          <w:rFonts w:ascii="Arial" w:cs="Arial" w:eastAsia="Arial" w:hAnsi="Arial"/>
          <w:sz w:val="22"/>
          <w:szCs w:val="22"/>
        </w:rPr>
        <w:t xml:space="preserve">Letter-spacing on eyebrows and small caps: +0.18em to +0.22em (positive tracking)</w:t>
      </w:r>
    </w:p>
    <w:p>
      <w:pPr>
        <w:pStyle w:val="ListParagraph"/>
        <w:numPr>
          <w:ilvl w:val="0"/>
          <w:numId w:val="2"/>
        </w:numPr>
        <w:spacing w:after="60" w:before="0" w:line="280"/>
      </w:pPr>
      <w:r>
        <w:rPr>
          <w:rFonts w:ascii="Arial" w:cs="Arial" w:eastAsia="Arial" w:hAnsi="Arial"/>
          <w:sz w:val="22"/>
          <w:szCs w:val="22"/>
        </w:rPr>
        <w:t xml:space="preserve">Body text line-height: 1.6 minimum on web, 1.5 minimum in documents</w:t>
      </w:r>
    </w:p>
    <w:p>
      <w:pPr>
        <w:pStyle w:val="ListParagraph"/>
        <w:numPr>
          <w:ilvl w:val="0"/>
          <w:numId w:val="2"/>
        </w:numPr>
        <w:spacing w:after="60" w:before="0" w:line="280"/>
      </w:pPr>
      <w:r>
        <w:rPr>
          <w:rFonts w:ascii="Arial" w:cs="Arial" w:eastAsia="Arial" w:hAnsi="Arial"/>
          <w:sz w:val="22"/>
          <w:szCs w:val="22"/>
        </w:rPr>
        <w:t xml:space="preserve">Display weights: 300 (light) for hero, 400 (regular) for sub-display, 500–600 for emphasis</w:t>
      </w:r>
    </w:p>
    <w:p>
      <w:pPr>
        <w:pStyle w:val="ListParagraph"/>
        <w:numPr>
          <w:ilvl w:val="0"/>
          <w:numId w:val="2"/>
        </w:numPr>
        <w:spacing w:after="60" w:before="0" w:line="280"/>
      </w:pPr>
      <w:r>
        <w:rPr>
          <w:rFonts w:ascii="Arial" w:cs="Arial" w:eastAsia="Arial" w:hAnsi="Arial"/>
          <w:sz w:val="22"/>
          <w:szCs w:val="22"/>
        </w:rPr>
        <w:t xml:space="preserve">Body weights: 400 regular, 500 medium for emphasis, 600 for inline strong</w:t>
      </w:r>
    </w:p>
    <w:p>
      <w:pPr>
        <w:pStyle w:val="ListParagraph"/>
        <w:numPr>
          <w:ilvl w:val="0"/>
          <w:numId w:val="2"/>
        </w:numPr>
        <w:spacing w:after="60" w:before="0" w:line="280"/>
      </w:pPr>
      <w:r>
        <w:rPr>
          <w:rFonts w:ascii="Arial" w:cs="Arial" w:eastAsia="Arial" w:hAnsi="Arial"/>
          <w:sz w:val="22"/>
          <w:szCs w:val="22"/>
        </w:rPr>
        <w:t xml:space="preserve">Italic accents use the editorial serif (Instrument Serif) — never italicise sans-serif body</w:t>
      </w:r>
    </w:p>
    <w:p>
      <w:r>
        <w:br w:type="page"/>
      </w:r>
    </w:p>
    <w:p>
      <w:pPr>
        <w:pStyle w:val="Heading1"/>
      </w:pPr>
      <w:r>
        <w:rPr>
          <w:rFonts w:ascii="Arial" w:cs="Arial" w:eastAsia="Arial" w:hAnsi="Arial"/>
          <w:b/>
          <w:bCs/>
          <w:color w:val="1A3C5E"/>
          <w:sz w:val="36"/>
          <w:szCs w:val="36"/>
        </w:rPr>
        <w:t xml:space="preserve">5. Voice &amp; Tone</w:t>
      </w:r>
    </w:p>
    <w:p>
      <w:pPr>
        <w:pBdr>
          <w:bottom w:val="single" w:color="E5E7EB" w:sz="6" w:space="1"/>
        </w:pBdr>
        <w:spacing w:after="100" w:before="100"/>
      </w:pPr>
      <w:r>
        <w:rPr>
          <w:sz w:val="4"/>
          <w:szCs w:val="4"/>
        </w:rPr>
        <w:t xml:space="preserve"/>
      </w:r>
    </w:p>
    <w:p>
      <w:pPr>
        <w:spacing w:after="40" w:before="200" w:line="280"/>
      </w:pPr>
      <w:r>
        <w:rPr>
          <w:rFonts w:ascii="Arial" w:cs="Arial" w:eastAsia="Arial" w:hAnsi="Arial"/>
          <w:b/>
          <w:bCs/>
          <w:color w:val="F5A623"/>
          <w:spacing w:val="40"/>
          <w:sz w:val="16"/>
          <w:szCs w:val="16"/>
        </w:rPr>
        <w:t xml:space="preserve">5.1 — BRAND ARCHETYPES</w:t>
      </w:r>
    </w:p>
    <w:p>
      <w:pPr>
        <w:spacing w:after="100" w:before="0" w:line="280"/>
        <w:jc w:val="left"/>
      </w:pPr>
      <w:r>
        <w:rPr>
          <w:rFonts w:ascii="Arial" w:cs="Arial" w:eastAsia="Arial" w:hAnsi="Arial"/>
          <w:sz w:val="22"/>
          <w:szCs w:val="22"/>
        </w:rPr>
        <w:t xml:space="preserve">Prepreneurship operates as two archetypes in combination:</w:t>
      </w:r>
    </w:p>
    <w:p>
      <w:pPr>
        <w:pStyle w:val="ListParagraph"/>
        <w:numPr>
          <w:ilvl w:val="0"/>
          <w:numId w:val="2"/>
        </w:numPr>
        <w:spacing w:after="60" w:before="0" w:line="280"/>
      </w:pPr>
      <w:r>
        <w:rPr>
          <w:rFonts w:ascii="Arial" w:cs="Arial" w:eastAsia="Arial" w:hAnsi="Arial"/>
          <w:b w:val="false"/>
          <w:bCs w:val="false"/>
          <w:sz w:val="22"/>
          <w:szCs w:val="22"/>
        </w:rPr>
        <w:t xml:space="preserve">The Mentor — guiding youth toward structured, disciplined growth</w:t>
      </w:r>
    </w:p>
    <w:p>
      <w:pPr>
        <w:pStyle w:val="ListParagraph"/>
        <w:numPr>
          <w:ilvl w:val="0"/>
          <w:numId w:val="2"/>
        </w:numPr>
        <w:spacing w:after="60" w:before="0" w:line="280"/>
      </w:pPr>
      <w:r>
        <w:rPr>
          <w:rFonts w:ascii="Arial" w:cs="Arial" w:eastAsia="Arial" w:hAnsi="Arial"/>
          <w:sz w:val="22"/>
          <w:szCs w:val="22"/>
        </w:rPr>
        <w:t xml:space="preserve">The Architect — building systems that produce real, measurable outcomes</w:t>
      </w:r>
    </w:p>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5.2 — THREE TONE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r>
              <w:rPr>
                <w:rFonts w:ascii="Arial" w:cs="Arial" w:eastAsia="Arial" w:hAnsi="Arial"/>
                <w:b/>
                <w:bCs/>
                <w:caps/>
                <w:color w:val="F5A623"/>
                <w:sz w:val="24"/>
                <w:szCs w:val="24"/>
              </w:rPr>
              <w:t xml:space="preserve">INSPIRATIONAL</w:t>
            </w:r>
          </w:p>
          <w:p>
            <w:pPr>
              <w:spacing w:before="120"/>
            </w:pPr>
            <w:r>
              <w:rPr>
                <w:rFonts w:ascii="Arial" w:cs="Arial" w:eastAsia="Arial" w:hAnsi="Arial"/>
                <w:i/>
                <w:iCs/>
                <w:color w:val="111827"/>
                <w:sz w:val="21"/>
                <w:szCs w:val="21"/>
              </w:rPr>
              <w:t xml:space="preserve">Encourage ambition. Show a future where Pakistan’s youth thrive.</w:t>
            </w:r>
          </w:p>
        </w:tc>
        <w:tc>
          <w:tcPr>
            <w:tcW w:type="dxa" w:w="312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r>
              <w:rPr>
                <w:rFonts w:ascii="Arial" w:cs="Arial" w:eastAsia="Arial" w:hAnsi="Arial"/>
                <w:b/>
                <w:bCs/>
                <w:caps/>
                <w:color w:val="F5A623"/>
                <w:sz w:val="24"/>
                <w:szCs w:val="24"/>
              </w:rPr>
              <w:t xml:space="preserve">HONEST</w:t>
            </w:r>
          </w:p>
          <w:p>
            <w:pPr>
              <w:spacing w:before="120"/>
            </w:pPr>
            <w:r>
              <w:rPr>
                <w:rFonts w:ascii="Arial" w:cs="Arial" w:eastAsia="Arial" w:hAnsi="Arial"/>
                <w:i/>
                <w:iCs/>
                <w:color w:val="111827"/>
                <w:sz w:val="21"/>
                <w:szCs w:val="21"/>
              </w:rPr>
              <w:t xml:space="preserve">Acknowledge real challenges without melodrama. Name the pain before the solution.</w:t>
            </w:r>
          </w:p>
        </w:tc>
        <w:tc>
          <w:tcPr>
            <w:tcW w:type="dxa" w:w="312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r>
              <w:rPr>
                <w:rFonts w:ascii="Arial" w:cs="Arial" w:eastAsia="Arial" w:hAnsi="Arial"/>
                <w:b/>
                <w:bCs/>
                <w:caps/>
                <w:color w:val="F5A623"/>
                <w:sz w:val="24"/>
                <w:szCs w:val="24"/>
              </w:rPr>
              <w:t xml:space="preserve">DISCIPLINED</w:t>
            </w:r>
          </w:p>
          <w:p>
            <w:pPr>
              <w:spacing w:before="120"/>
            </w:pPr>
            <w:r>
              <w:rPr>
                <w:rFonts w:ascii="Arial" w:cs="Arial" w:eastAsia="Arial" w:hAnsi="Arial"/>
                <w:i/>
                <w:iCs/>
                <w:color w:val="111827"/>
                <w:sz w:val="21"/>
                <w:szCs w:val="21"/>
              </w:rPr>
              <w:t xml:space="preserve">No exaggerated promises. Every claim is defensible and measurable.</w:t>
            </w:r>
          </w:p>
        </w:tc>
      </w:tr>
    </w:tbl>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5.3 — REGISTER: CONVICTION, NOT EXCITEMENT</w:t>
      </w:r>
    </w:p>
    <w:tbl>
      <w:tblPr>
        <w:tblW w:type="dxa" w:w="9360"/>
        <w:tblBorders>
          <w:top w:val="single" w:color="E5E7EB" w:sz="6"/>
          <w:left w:val="single" w:color="F5A623" w:sz="24"/>
          <w:bottom w:val="single" w:color="E5E7EB" w:sz="6"/>
          <w:right w:val="single" w:color="E5E7EB"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200"/>
              <w:left w:type="dxa" w:w="280"/>
              <w:bottom w:type="dxa" w:w="200"/>
              <w:right w:type="dxa" w:w="200"/>
            </w:tcMar>
          </w:tcPr>
          <w:p>
            <w:pPr>
              <w:spacing w:line="320"/>
            </w:pPr>
            <w:r>
              <w:rPr>
                <w:rFonts w:ascii="Arial" w:cs="Arial" w:eastAsia="Arial" w:hAnsi="Arial"/>
                <w:i/>
                <w:iCs/>
                <w:color w:val="1A3C5E"/>
                <w:sz w:val="24"/>
                <w:szCs w:val="24"/>
              </w:rPr>
              <w:t xml:space="preserve">Excitement fades. Conviction makes decisions. All copy must move the reader from awareness to conviction — not from awareness to excitement. Excitement is for property salespeople. Conviction is for institution builders.</w:t>
            </w:r>
          </w:p>
        </w:tc>
      </w:tr>
    </w:tbl>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5.4 — WHAT TO SAY / NEVER SAY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r>
              <w:rPr>
                <w:rFonts w:ascii="Arial" w:cs="Arial" w:eastAsia="Arial" w:hAnsi="Arial"/>
                <w:b/>
                <w:bCs/>
                <w:color w:val="065F46"/>
                <w:sz w:val="22"/>
                <w:szCs w:val="22"/>
              </w:rPr>
              <w:t xml:space="preserve">✓ ALWAYS</w:t>
            </w:r>
          </w:p>
        </w:tc>
        <w:tc>
          <w:tcPr>
            <w:tcW w:type="dxa" w:w="468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r>
              <w:rPr>
                <w:rFonts w:ascii="Arial" w:cs="Arial" w:eastAsia="Arial" w:hAnsi="Arial"/>
                <w:b/>
                <w:bCs/>
                <w:color w:val="C53030"/>
                <w:sz w:val="22"/>
                <w:szCs w:val="22"/>
              </w:rPr>
              <w:t xml:space="preserve">✗ NEVER</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"Career transformation ecosystem"</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"Training centre" or "coaching class"</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"Discipline-driven"</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"Casual" or "self-paced"</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"Production-oriented"</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"Theory-based" or "classroom-only"</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"Market-ready graduates"</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"Welfare", "subsidised", or "charity"</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"5,000 applicants → 100 selected"</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Overselling: "guaranteed employment"</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 pipeline, not a programme"</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 course" or "a workshop"</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"Discipline. Production. Market exposure."</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Generic edtech phrasing: "fast-track your career"</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"Dream. Learn. Earn." — exact spelling</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Any tagline variant without CEO approval</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"Pakistan’s first tech ecosystem" (for Tower)</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"Luxury living", "prime location", "premium real estate"</w:t>
            </w:r>
          </w:p>
        </w:tc>
      </w:tr>
    </w:tbl>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5.5 — TONE BY CHANNEL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rPr>
          <w:tblHeader/>
        </w:trPr>
        <w:tc>
          <w:tcPr>
            <w:tcW w:type="dxa" w:w="216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CHANNEL</w:t>
            </w:r>
          </w:p>
        </w:tc>
        <w:tc>
          <w:tcPr>
            <w:tcW w:type="dxa" w:w="72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TONE GUIDANCE</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Website</w:t>
            </w:r>
          </w:p>
        </w:tc>
        <w:tc>
          <w:tcPr>
            <w:tcW w:type="dxa" w:w="72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Institutional, confident, editorial. Headlines lean declarative. Body copy explains the system, not the feelings.</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TikTok / Reels</w:t>
            </w:r>
          </w:p>
        </w:tc>
        <w:tc>
          <w:tcPr>
            <w:tcW w:type="dxa" w:w="72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Identity-shock and reality-mirror content. Direct, unvarnished, sometimes confronting. Pain before solution.</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LinkedIn</w:t>
            </w:r>
          </w:p>
        </w:tc>
        <w:tc>
          <w:tcPr>
            <w:tcW w:type="dxa" w:w="72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Professional thought leadership. Data-led. CEO voice carries institutional credibility for partner audiences.</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WhatsApp</w:t>
            </w:r>
          </w:p>
        </w:tc>
        <w:tc>
          <w:tcPr>
            <w:tcW w:type="dxa" w:w="72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Highest-trust channel. Personal, direct, honest. Never broadcast-marketing in tone. Maximum 2 messages per week.</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Investor Materials</w:t>
            </w:r>
          </w:p>
        </w:tc>
        <w:tc>
          <w:tcPr>
            <w:tcW w:type="dxa" w:w="72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Sober, structural, evidence-based. Mission first, return second. The return is evidence the mission is serious — not the pitch.</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Parent-Facing</w:t>
            </w:r>
          </w:p>
        </w:tc>
        <w:tc>
          <w:tcPr>
            <w:tcW w:type="dxa" w:w="72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Reassuring, structured, accountable. Emphasise discipline, measurability, and direct income outcomes.</w:t>
            </w:r>
          </w:p>
        </w:tc>
      </w:tr>
    </w:tbl>
    <w:p>
      <w:r>
        <w:br w:type="page"/>
      </w:r>
    </w:p>
    <w:p>
      <w:pPr>
        <w:pStyle w:val="Heading1"/>
      </w:pPr>
      <w:r>
        <w:rPr>
          <w:rFonts w:ascii="Arial" w:cs="Arial" w:eastAsia="Arial" w:hAnsi="Arial"/>
          <w:b/>
          <w:bCs/>
          <w:color w:val="1A3C5E"/>
          <w:sz w:val="36"/>
          <w:szCs w:val="36"/>
        </w:rPr>
        <w:t xml:space="preserve">6. Imagery &amp; Photography</w:t>
      </w:r>
    </w:p>
    <w:p>
      <w:pPr>
        <w:pBdr>
          <w:bottom w:val="single" w:color="E5E7EB" w:sz="6" w:space="1"/>
        </w:pBdr>
        <w:spacing w:after="100" w:before="100"/>
      </w:pPr>
      <w:r>
        <w:rPr>
          <w:sz w:val="4"/>
          <w:szCs w:val="4"/>
        </w:rPr>
        <w:t xml:space="preserve"/>
      </w:r>
    </w:p>
    <w:p>
      <w:pPr>
        <w:spacing w:after="40" w:before="200" w:line="280"/>
      </w:pPr>
      <w:r>
        <w:rPr>
          <w:rFonts w:ascii="Arial" w:cs="Arial" w:eastAsia="Arial" w:hAnsi="Arial"/>
          <w:b/>
          <w:bCs/>
          <w:color w:val="F5A623"/>
          <w:spacing w:val="40"/>
          <w:sz w:val="16"/>
          <w:szCs w:val="16"/>
        </w:rPr>
        <w:t xml:space="preserve">6.1 — APPROVED ASSET CATEGORIES</w:t>
      </w:r>
    </w:p>
    <w:p>
      <w:pPr>
        <w:spacing w:after="120" w:before="0" w:line="280"/>
        <w:jc w:val="left"/>
      </w:pPr>
      <w:r>
        <w:rPr>
          <w:rFonts w:ascii="Arial" w:cs="Arial" w:eastAsia="Arial" w:hAnsi="Arial"/>
          <w:color w:val="6B7280"/>
          <w:sz w:val="22"/>
          <w:szCs w:val="22"/>
        </w:rPr>
        <w:t xml:space="preserve">The following official asset categories are confirmed and should be used across all materials: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ASSET</w:t>
            </w:r>
          </w:p>
        </w:tc>
        <w:tc>
          <w:tcPr>
            <w:tcW w:type="dxa" w:w="624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DESCRIPTION &amp; USE</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Tower Exterior — Golden Hour</w:t>
            </w:r>
          </w:p>
        </w:tc>
        <w:tc>
          <w:tcPr>
            <w:tcW w:type="dxa" w:w="62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Hero image. Full-bleed backgrounds on cover slides and landing pages. Shows "PRE-PRENEURSHIP TOWER" signage and Islamabad hills backdrop.</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Tower Exterior — Daytime</w:t>
            </w:r>
          </w:p>
        </w:tc>
        <w:tc>
          <w:tcPr>
            <w:tcW w:type="dxa" w:w="62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Corporate profile covers, partnership pages. Blue sky, glass curtain wall dominant.</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Lower Ground IT Hall</w:t>
            </w:r>
          </w:p>
        </w:tc>
        <w:tc>
          <w:tcPr>
            <w:tcW w:type="dxa" w:w="62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Operational space. Real photography preferred over renders. Use for "this is real" credibility.</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Cutaway Render — Interior Floors</w:t>
            </w:r>
          </w:p>
        </w:tc>
        <w:tc>
          <w:tcPr>
            <w:tcW w:type="dxa" w:w="62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Solution slides. Shows mixed-use floors: residential, co-working, AI-equipped meeting rooms.</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Floor Plan Isometric</w:t>
            </w:r>
          </w:p>
        </w:tc>
        <w:tc>
          <w:tcPr>
            <w:tcW w:type="dxa" w:w="62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Architecture slides, investor documents. Co-working, pods, executive offices, reception.</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Co-working Interiors</w:t>
            </w:r>
          </w:p>
        </w:tc>
        <w:tc>
          <w:tcPr>
            <w:tcW w:type="dxa" w:w="62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Open-plan hot desks with warm amber chairs and natural light.</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Rooftop Café &amp; Fitness</w:t>
            </w:r>
          </w:p>
        </w:tc>
        <w:tc>
          <w:tcPr>
            <w:tcW w:type="dxa" w:w="62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Amenities/lifestyle sections. Outdoor terrace, gym with mountain views.</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Pakistan Innovation Hubs Map</w:t>
            </w:r>
          </w:p>
        </w:tc>
        <w:tc>
          <w:tcPr>
            <w:tcW w:type="dxa" w:w="62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National expansion slides. Digital neon map showing 7 cities.</w:t>
            </w:r>
          </w:p>
        </w:tc>
      </w:tr>
    </w:tbl>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6.2 — PHOTOGRAPHY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r>
              <w:rPr>
                <w:rFonts w:ascii="Arial" w:cs="Arial" w:eastAsia="Arial" w:hAnsi="Arial"/>
                <w:b/>
                <w:bCs/>
                <w:color w:val="065F46"/>
                <w:sz w:val="22"/>
                <w:szCs w:val="22"/>
              </w:rPr>
              <w:t xml:space="preserve">✓ ALWAYS</w:t>
            </w:r>
          </w:p>
        </w:tc>
        <w:tc>
          <w:tcPr>
            <w:tcW w:type="dxa" w:w="468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r>
              <w:rPr>
                <w:rFonts w:ascii="Arial" w:cs="Arial" w:eastAsia="Arial" w:hAnsi="Arial"/>
                <w:b/>
                <w:bCs/>
                <w:color w:val="C53030"/>
                <w:sz w:val="22"/>
                <w:szCs w:val="22"/>
              </w:rPr>
              <w:t xml:space="preserve">✗ NEVER</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Young Pakistanis working at computers or in collaborative groups</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Generic Western stock photos</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Urban, professional, Islamabad-context environments</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Sad, struggling, or charity-framed imagery</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Team-based, aspirational, energetic settings</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Stock photos with non-Pakistani faces or contexts</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Tower renders with "Completing Q3 2026" label where applicable</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Renders presented as completed without disclosure</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Real photography of operational spaces (LG IT Hall)</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AI-generated buildings or generic tower renders</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Natural daylight and warm-amber accent lighting</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Cool blue stock-photo lighting or generic SaaS aesthetics</w:t>
            </w:r>
          </w:p>
        </w:tc>
      </w:tr>
    </w:tbl>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6.3 — IMAGE TREATMENT — DARK OVERLAYS</w:t>
      </w:r>
    </w:p>
    <w:p>
      <w:pPr>
        <w:spacing w:after="100" w:before="0" w:line="280"/>
        <w:jc w:val="left"/>
      </w:pPr>
      <w:r>
        <w:rPr>
          <w:rFonts w:ascii="Arial" w:cs="Arial" w:eastAsia="Arial" w:hAnsi="Arial"/>
          <w:sz w:val="22"/>
          <w:szCs w:val="22"/>
        </w:rPr>
        <w:t xml:space="preserve">When placing text over photography, apply this overlay sequence to maintain contrast:</w:t>
      </w:r>
    </w:p>
    <w:p>
      <w:pPr>
        <w:pStyle w:val="ListParagraph"/>
        <w:numPr>
          <w:ilvl w:val="0"/>
          <w:numId w:val="2"/>
        </w:numPr>
        <w:spacing w:after="60" w:before="0" w:line="280"/>
      </w:pPr>
      <w:r>
        <w:rPr>
          <w:rFonts w:ascii="Arial" w:cs="Arial" w:eastAsia="Arial" w:hAnsi="Arial"/>
          <w:sz w:val="22"/>
          <w:szCs w:val="22"/>
        </w:rPr>
        <w:t xml:space="preserve">Linear gradient: rgba(14,37,64,0.92) → rgba(26,60,94,0.88) (left → right or 165° angle)</w:t>
      </w:r>
    </w:p>
    <w:p>
      <w:pPr>
        <w:pStyle w:val="ListParagraph"/>
        <w:numPr>
          <w:ilvl w:val="0"/>
          <w:numId w:val="2"/>
        </w:numPr>
        <w:spacing w:after="60" w:before="0" w:line="280"/>
      </w:pPr>
      <w:r>
        <w:rPr>
          <w:rFonts w:ascii="Arial" w:cs="Arial" w:eastAsia="Arial" w:hAnsi="Arial"/>
          <w:sz w:val="22"/>
          <w:szCs w:val="22"/>
        </w:rPr>
        <w:t xml:space="preserve">Optional radial accent: rgba(245,166,35,0.08) at top-right corner for amber bloom</w:t>
      </w:r>
    </w:p>
    <w:p>
      <w:pPr>
        <w:pStyle w:val="ListParagraph"/>
        <w:numPr>
          <w:ilvl w:val="0"/>
          <w:numId w:val="2"/>
        </w:numPr>
        <w:spacing w:after="60" w:before="0" w:line="280"/>
      </w:pPr>
      <w:r>
        <w:rPr>
          <w:rFonts w:ascii="Arial" w:cs="Arial" w:eastAsia="Arial" w:hAnsi="Arial"/>
          <w:sz w:val="22"/>
          <w:szCs w:val="22"/>
        </w:rPr>
        <w:t xml:space="preserve">Subtle grain layer at 0.5 opacity for institutional texture</w:t>
      </w:r>
    </w:p>
    <w:p>
      <w:pPr>
        <w:pStyle w:val="ListParagraph"/>
        <w:numPr>
          <w:ilvl w:val="0"/>
          <w:numId w:val="2"/>
        </w:numPr>
        <w:spacing w:after="60" w:before="0" w:line="280"/>
      </w:pPr>
      <w:r>
        <w:rPr>
          <w:rFonts w:ascii="Arial" w:cs="Arial" w:eastAsia="Arial" w:hAnsi="Arial"/>
          <w:sz w:val="22"/>
          <w:szCs w:val="22"/>
        </w:rPr>
        <w:t xml:space="preserve">Test text contrast at WCAG AA minimum (4.5:1 for body, 3:1 for large headlines)</w:t>
      </w:r>
    </w:p>
    <w:p>
      <w:r>
        <w:br w:type="page"/>
      </w:r>
    </w:p>
    <w:p>
      <w:pPr>
        <w:pStyle w:val="Heading1"/>
      </w:pPr>
      <w:r>
        <w:rPr>
          <w:rFonts w:ascii="Arial" w:cs="Arial" w:eastAsia="Arial" w:hAnsi="Arial"/>
          <w:b/>
          <w:bCs/>
          <w:color w:val="1A3C5E"/>
          <w:sz w:val="36"/>
          <w:szCs w:val="36"/>
        </w:rPr>
        <w:t xml:space="preserve">7. Website &amp; Digital Standards</w:t>
      </w:r>
    </w:p>
    <w:p>
      <w:pPr>
        <w:pBdr>
          <w:bottom w:val="single" w:color="E5E7EB" w:sz="6" w:space="1"/>
        </w:pBdr>
        <w:spacing w:after="100" w:before="100"/>
      </w:pPr>
      <w:r>
        <w:rPr>
          <w:sz w:val="4"/>
          <w:szCs w:val="4"/>
        </w:rPr>
        <w:t xml:space="preserve"/>
      </w:r>
    </w:p>
    <w:p>
      <w:pPr>
        <w:spacing w:after="200" w:before="0" w:line="280"/>
        <w:jc w:val="left"/>
      </w:pPr>
      <w:r>
        <w:rPr>
          <w:rFonts w:ascii="Arial" w:cs="Arial" w:eastAsia="Arial" w:hAnsi="Arial"/>
          <w:i/>
          <w:iCs/>
          <w:color w:val="6B7280"/>
          <w:sz w:val="22"/>
          <w:szCs w:val="22"/>
        </w:rPr>
        <w:t xml:space="preserve">This section is new in V2.0. It governs how the brand applies on prepreneurship.com, application forms, and any digital surface built on the Prepreneurship design system.</w:t>
      </w:r>
    </w:p>
    <w:p>
      <w:pPr>
        <w:spacing w:after="40" w:before="200" w:line="280"/>
      </w:pPr>
      <w:r>
        <w:rPr>
          <w:rFonts w:ascii="Arial" w:cs="Arial" w:eastAsia="Arial" w:hAnsi="Arial"/>
          <w:b/>
          <w:bCs/>
          <w:color w:val="F5A623"/>
          <w:spacing w:val="40"/>
          <w:sz w:val="16"/>
          <w:szCs w:val="16"/>
        </w:rPr>
        <w:t xml:space="preserve">7.1 — DESIGN TOKENS (FOR DEVELOPERS)</w:t>
      </w:r>
    </w:p>
    <w:p>
      <w:pPr>
        <w:spacing w:after="120" w:before="0" w:line="280"/>
        <w:jc w:val="left"/>
      </w:pPr>
      <w:r>
        <w:rPr>
          <w:rFonts w:ascii="Arial" w:cs="Arial" w:eastAsia="Arial" w:hAnsi="Arial"/>
          <w:color w:val="6B7280"/>
          <w:sz w:val="22"/>
          <w:szCs w:val="22"/>
        </w:rPr>
        <w:t xml:space="preserve">Lift these directly into Tailwind config or CSS variables. They map 1:1 with the brand palette and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2880"/>
        <w:gridCol w:w="3600"/>
      </w:tblGrid>
      <w:tr>
        <w:trPr>
          <w:tblHeader/>
        </w:trPr>
        <w:tc>
          <w:tcPr>
            <w:tcW w:type="dxa" w:w="288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Consolas" w:cs="Consolas" w:eastAsia="Consolas" w:hAnsi="Consolas"/>
                <w:b/>
                <w:bCs/>
                <w:caps/>
                <w:color w:val="FFFFFF"/>
                <w:sz w:val="19"/>
                <w:szCs w:val="19"/>
              </w:rPr>
              <w:t xml:space="preserve">TOKEN</w:t>
            </w:r>
          </w:p>
        </w:tc>
        <w:tc>
          <w:tcPr>
            <w:tcW w:type="dxa" w:w="288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Consolas" w:cs="Consolas" w:eastAsia="Consolas" w:hAnsi="Consolas"/>
                <w:b/>
                <w:bCs/>
                <w:caps/>
                <w:color w:val="FFFFFF"/>
                <w:sz w:val="19"/>
                <w:szCs w:val="19"/>
              </w:rPr>
              <w:t xml:space="preserve">VALUE</w:t>
            </w:r>
          </w:p>
        </w:tc>
        <w:tc>
          <w:tcPr>
            <w:tcW w:type="dxa" w:w="36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USE</w:t>
            </w:r>
          </w:p>
        </w:tc>
      </w:tr>
      <w:tr>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--navy</w:t>
            </w:r>
          </w:p>
        </w:tc>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#1A3C5E</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Primary brand · headings · dark sections</w:t>
            </w:r>
          </w:p>
        </w:tc>
      </w:tr>
      <w:tr>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--navy-deep</w:t>
            </w:r>
          </w:p>
        </w:tc>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#0E2540</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Footer · gradient base</w:t>
            </w:r>
          </w:p>
        </w:tc>
      </w:tr>
      <w:tr>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--amber</w:t>
            </w:r>
          </w:p>
        </w:tc>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#F5A623</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CTAs · accents · highlights</w:t>
            </w:r>
          </w:p>
        </w:tc>
      </w:tr>
      <w:tr>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--cream</w:t>
            </w:r>
          </w:p>
        </w:tc>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#F0F4F8</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Light section backgrounds</w:t>
            </w:r>
          </w:p>
        </w:tc>
      </w:tr>
      <w:tr>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--ink</w:t>
            </w:r>
          </w:p>
        </w:tc>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#111827</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Body text on light</w:t>
            </w:r>
          </w:p>
        </w:tc>
      </w:tr>
      <w:tr>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--ink-soft</w:t>
            </w:r>
          </w:p>
        </w:tc>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#6B7280</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Captions · secondary text</w:t>
            </w:r>
          </w:p>
        </w:tc>
      </w:tr>
      <w:tr>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--font-display</w:t>
            </w:r>
          </w:p>
        </w:tc>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"Sora", sans-serif</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Headlines · hero · display</w:t>
            </w:r>
          </w:p>
        </w:tc>
      </w:tr>
      <w:tr>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--font-body</w:t>
            </w:r>
          </w:p>
        </w:tc>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"Inter", sans-serif</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Body · UI · forms</w:t>
            </w:r>
          </w:p>
        </w:tc>
      </w:tr>
      <w:tr>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--font-serif</w:t>
            </w:r>
          </w:p>
        </w:tc>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"Instrument Serif", serif</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Italic editorial accents only</w:t>
            </w:r>
          </w:p>
        </w:tc>
      </w:tr>
      <w:tr>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--container</w:t>
            </w:r>
          </w:p>
        </w:tc>
        <w:tc>
          <w:tcPr>
            <w:tcW w:type="dxa" w:w="28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1280px</w:t>
            </w:r>
          </w:p>
        </w:tc>
        <w:tc>
          <w:tcPr>
            <w:tcW w:type="dxa" w:w="36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color w:val="6B7280"/>
                <w:sz w:val="20"/>
                <w:szCs w:val="20"/>
              </w:rPr>
              <w:t xml:space="preserve">Max content width</w:t>
            </w:r>
          </w:p>
        </w:tc>
      </w:tr>
    </w:tbl>
    <w:p>
      <w:pPr>
        <w:spacing w:after="0" w:before="240"/>
      </w:pPr>
      <w:r>
        <w:rPr>
          <w:sz w:val="16"/>
          <w:szCs w:val="16"/>
        </w:rPr>
        <w:t xml:space="preserve"/>
      </w:r>
    </w:p>
    <w:p>
      <w:pPr>
        <w:spacing w:after="40" w:before="200" w:line="280"/>
      </w:pPr>
      <w:r>
        <w:rPr>
          <w:rFonts w:ascii="Arial" w:cs="Arial" w:eastAsia="Arial" w:hAnsi="Arial"/>
          <w:b/>
          <w:bCs/>
          <w:color w:val="F5A623"/>
          <w:spacing w:val="40"/>
          <w:sz w:val="16"/>
          <w:szCs w:val="16"/>
        </w:rPr>
        <w:t xml:space="preserve">7.2 — RESPONSIVE BREAKPOINTS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2160"/>
        <w:gridCol w:w="5040"/>
      </w:tblGrid>
      <w:tr>
        <w:trPr>
          <w:tblHeader/>
        </w:trPr>
        <w:tc>
          <w:tcPr>
            <w:tcW w:type="dxa" w:w="216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BREAKPOINT</w:t>
            </w:r>
          </w:p>
        </w:tc>
        <w:tc>
          <w:tcPr>
            <w:tcW w:type="dxa" w:w="216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WIDTH</w:t>
            </w:r>
          </w:p>
        </w:tc>
        <w:tc>
          <w:tcPr>
            <w:tcW w:type="dxa" w:w="504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BEHAVIOUR</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Desktop</w:t>
            </w:r>
          </w:p>
        </w:tc>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1100px+</w:t>
            </w:r>
          </w:p>
        </w:tc>
        <w:tc>
          <w:tcPr>
            <w:tcW w:type="dxa" w:w="50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Full layout — horizontal nav, multi-column grids</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Tablet</w:t>
            </w:r>
          </w:p>
        </w:tc>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 1100px</w:t>
            </w:r>
          </w:p>
        </w:tc>
        <w:tc>
          <w:tcPr>
            <w:tcW w:type="dxa" w:w="50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Burger nav appears, audiences stack to 2 cols, sticky elements release</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Mobile</w:t>
            </w:r>
          </w:p>
        </w:tc>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 768px</w:t>
            </w:r>
          </w:p>
        </w:tc>
        <w:tc>
          <w:tcPr>
            <w:tcW w:type="dxa" w:w="50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Single-column grids, form fields stack, tracks list vertically</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Small Mobile</w:t>
            </w:r>
          </w:p>
        </w:tc>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 640px</w:t>
            </w:r>
          </w:p>
        </w:tc>
        <w:tc>
          <w:tcPr>
            <w:tcW w:type="dxa" w:w="50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CTAs full-width, WhatsApp FAB icon-only, partners 2-col</w:t>
            </w:r>
          </w:p>
        </w:tc>
      </w:tr>
      <w:tr>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Tight Mobile</w:t>
            </w:r>
          </w:p>
        </w:tc>
        <w:tc>
          <w:tcPr>
            <w:tcW w:type="dxa" w:w="21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 380px</w:t>
            </w:r>
          </w:p>
        </w:tc>
        <w:tc>
          <w:tcPr>
            <w:tcW w:type="dxa" w:w="50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Reduced gutters, brand tag hidden, smaller hero</w:t>
            </w:r>
          </w:p>
        </w:tc>
      </w:tr>
    </w:tbl>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7.3 — NAVIGATION STANDARDS</w:t>
      </w:r>
    </w:p>
    <w:p>
      <w:pPr>
        <w:pStyle w:val="ListParagraph"/>
        <w:numPr>
          <w:ilvl w:val="0"/>
          <w:numId w:val="2"/>
        </w:numPr>
        <w:spacing w:after="60" w:before="0" w:line="280"/>
      </w:pPr>
      <w:r>
        <w:rPr>
          <w:rFonts w:ascii="Arial" w:cs="Arial" w:eastAsia="Arial" w:hAnsi="Arial"/>
          <w:sz w:val="22"/>
          <w:szCs w:val="22"/>
        </w:rPr>
        <w:t xml:space="preserve">Sticky top — solid white background with subtle shadow (no transparency)</w:t>
      </w:r>
    </w:p>
    <w:p>
      <w:pPr>
        <w:pStyle w:val="ListParagraph"/>
        <w:numPr>
          <w:ilvl w:val="0"/>
          <w:numId w:val="2"/>
        </w:numPr>
        <w:spacing w:after="60" w:before="0" w:line="280"/>
      </w:pPr>
      <w:r>
        <w:rPr>
          <w:rFonts w:ascii="Arial" w:cs="Arial" w:eastAsia="Arial" w:hAnsi="Arial"/>
          <w:sz w:val="22"/>
          <w:szCs w:val="22"/>
        </w:rPr>
        <w:t xml:space="preserve">Logo (height 48px) + "PREPRENEURSHIP" wordmark in all caps with "DREAM · LEARN · EARN" tag below</w:t>
      </w:r>
    </w:p>
    <w:p>
      <w:pPr>
        <w:pStyle w:val="ListParagraph"/>
        <w:numPr>
          <w:ilvl w:val="0"/>
          <w:numId w:val="2"/>
        </w:numPr>
        <w:spacing w:after="60" w:before="0" w:line="280"/>
      </w:pPr>
      <w:r>
        <w:rPr>
          <w:rFonts w:ascii="Arial" w:cs="Arial" w:eastAsia="Arial" w:hAnsi="Arial"/>
          <w:sz w:val="22"/>
          <w:szCs w:val="22"/>
        </w:rPr>
        <w:t xml:space="preserve">Primary CTA "Apply Now" in amber button — always present, never replaced</w:t>
      </w:r>
    </w:p>
    <w:p>
      <w:pPr>
        <w:pStyle w:val="ListParagraph"/>
        <w:numPr>
          <w:ilvl w:val="0"/>
          <w:numId w:val="2"/>
        </w:numPr>
        <w:spacing w:after="60" w:before="0" w:line="280"/>
      </w:pPr>
      <w:r>
        <w:rPr>
          <w:rFonts w:ascii="Arial" w:cs="Arial" w:eastAsia="Arial" w:hAnsi="Arial"/>
          <w:sz w:val="22"/>
          <w:szCs w:val="22"/>
        </w:rPr>
        <w:t xml:space="preserve">Secondary CTA "Get Updates" in ghost button (visible on desktop only)</w:t>
      </w:r>
    </w:p>
    <w:p>
      <w:pPr>
        <w:pStyle w:val="ListParagraph"/>
        <w:numPr>
          <w:ilvl w:val="0"/>
          <w:numId w:val="2"/>
        </w:numPr>
        <w:spacing w:after="60" w:before="0" w:line="280"/>
      </w:pPr>
      <w:r>
        <w:rPr>
          <w:rFonts w:ascii="Arial" w:cs="Arial" w:eastAsia="Arial" w:hAnsi="Arial"/>
          <w:sz w:val="22"/>
          <w:szCs w:val="22"/>
        </w:rPr>
        <w:t xml:space="preserve">Mobile (≤ 1100px): collapse to burger menu opening a right-side drawer</w:t>
      </w:r>
    </w:p>
    <w:p>
      <w:pPr>
        <w:pStyle w:val="ListParagraph"/>
        <w:numPr>
          <w:ilvl w:val="0"/>
          <w:numId w:val="2"/>
        </w:numPr>
        <w:spacing w:after="60" w:before="0" w:line="280"/>
      </w:pPr>
      <w:r>
        <w:rPr>
          <w:rFonts w:ascii="Arial" w:cs="Arial" w:eastAsia="Arial" w:hAnsi="Arial"/>
          <w:sz w:val="22"/>
          <w:szCs w:val="22"/>
        </w:rPr>
        <w:t xml:space="preserve">Cross-page anchors use index.html#section format on tower.html and apply.html</w:t>
      </w:r>
    </w:p>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7.4 — BUTTON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rPr>
          <w:tblHeader/>
        </w:trPr>
        <w:tc>
          <w:tcPr>
            <w:tcW w:type="dxa" w:w="24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TYPE</w:t>
            </w:r>
          </w:p>
        </w:tc>
        <w:tc>
          <w:tcPr>
            <w:tcW w:type="dxa" w:w="24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Consolas" w:cs="Consolas" w:eastAsia="Consolas" w:hAnsi="Consolas"/>
                <w:b/>
                <w:bCs/>
                <w:caps/>
                <w:color w:val="FFFFFF"/>
                <w:sz w:val="19"/>
                <w:szCs w:val="19"/>
              </w:rPr>
              <w:t xml:space="preserve">CLASS</w:t>
            </w:r>
          </w:p>
        </w:tc>
        <w:tc>
          <w:tcPr>
            <w:tcW w:type="dxa" w:w="456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WHEN TO USE</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Primary</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.btn--primary</w:t>
            </w:r>
          </w:p>
        </w:tc>
        <w:tc>
          <w:tcPr>
            <w:tcW w:type="dxa" w:w="45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Amber bg, navy text. Singular CTA per section. Apply, Submit, Begin.</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Ghost</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.btn--ghost</w:t>
            </w:r>
          </w:p>
        </w:tc>
        <w:tc>
          <w:tcPr>
            <w:tcW w:type="dxa" w:w="45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Transparent bg, ink border. Secondary action, "Cancel" or "Learn more".</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Dark</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.btn--dark</w:t>
            </w:r>
          </w:p>
        </w:tc>
        <w:tc>
          <w:tcPr>
            <w:tcW w:type="dxa" w:w="45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Navy bg, white text. Used on amber CTA section backgrounds.</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Outline Dark</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.btn--outline-dark</w:t>
            </w:r>
          </w:p>
        </w:tc>
        <w:tc>
          <w:tcPr>
            <w:tcW w:type="dxa" w:w="45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Transparent bg, navy border. Pairs with .btn--dark on amber sections.</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Light Ghost</w:t>
            </w:r>
          </w:p>
        </w:tc>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.btn--ghost-light</w:t>
            </w:r>
          </w:p>
        </w:tc>
        <w:tc>
          <w:tcPr>
            <w:tcW w:type="dxa" w:w="45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Used over dark hero or navy sections. White text, white-tinted border.</w:t>
            </w:r>
          </w:p>
        </w:tc>
      </w:tr>
    </w:tbl>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7.5 — DIGITAL CONTACT POINTS</w:t>
      </w:r>
    </w:p>
    <w:p>
      <w:pPr>
        <w:spacing w:after="120" w:before="0" w:line="280"/>
        <w:jc w:val="left"/>
      </w:pPr>
      <w:r>
        <w:rPr>
          <w:rFonts w:ascii="Arial" w:cs="Arial" w:eastAsia="Arial" w:hAnsi="Arial"/>
          <w:color w:val="6B7280"/>
          <w:sz w:val="22"/>
          <w:szCs w:val="22"/>
        </w:rPr>
        <w:t xml:space="preserve">These are the official, public-facing contact channels. Use exactly as shown — no variants.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rPr>
          <w:tblHeader/>
        </w:trPr>
        <w:tc>
          <w:tcPr>
            <w:tcW w:type="dxa" w:w="240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CHANNEL</w:t>
            </w:r>
          </w:p>
        </w:tc>
        <w:tc>
          <w:tcPr>
            <w:tcW w:type="dxa" w:w="696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OFFICIAL HANDLE / URL</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Website</w:t>
            </w:r>
          </w:p>
        </w:tc>
        <w:tc>
          <w:tcPr>
            <w:tcW w:type="dxa" w:w="69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www.prepreneurship.com</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Email</w:t>
            </w:r>
          </w:p>
        </w:tc>
        <w:tc>
          <w:tcPr>
            <w:tcW w:type="dxa" w:w="69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writeus@prepreneurship.com</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Phone / WhatsApp</w:t>
            </w:r>
          </w:p>
        </w:tc>
        <w:tc>
          <w:tcPr>
            <w:tcW w:type="dxa" w:w="69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+92 318 1078876   ·   wa.me/923181078876</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Facebook</w:t>
            </w:r>
          </w:p>
        </w:tc>
        <w:tc>
          <w:tcPr>
            <w:tcW w:type="dxa" w:w="69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facebook.com/prepreneurship</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Instagram</w:t>
            </w:r>
          </w:p>
        </w:tc>
        <w:tc>
          <w:tcPr>
            <w:tcW w:type="dxa" w:w="69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instagram.com/prepreneurship</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LinkedIn</w:t>
            </w:r>
          </w:p>
        </w:tc>
        <w:tc>
          <w:tcPr>
            <w:tcW w:type="dxa" w:w="69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linkedin.com/company/prepreneurship</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YouTube</w:t>
            </w:r>
          </w:p>
        </w:tc>
        <w:tc>
          <w:tcPr>
            <w:tcW w:type="dxa" w:w="69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youtube.com/@prepreneurship</w:t>
            </w:r>
          </w:p>
        </w:tc>
      </w:tr>
      <w:tr>
        <w:tc>
          <w:tcPr>
            <w:tcW w:type="dxa" w:w="240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TikTok</w:t>
            </w:r>
          </w:p>
        </w:tc>
        <w:tc>
          <w:tcPr>
            <w:tcW w:type="dxa" w:w="696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1"/>
                <w:szCs w:val="21"/>
              </w:rPr>
              <w:t xml:space="preserve">tiktok.com/@prepreneurship</w:t>
            </w:r>
          </w:p>
        </w:tc>
      </w:tr>
    </w:tbl>
    <w:p>
      <w:r>
        <w:br w:type="page"/>
      </w:r>
    </w:p>
    <w:p>
      <w:pPr>
        <w:pStyle w:val="Heading1"/>
      </w:pPr>
      <w:r>
        <w:rPr>
          <w:rFonts w:ascii="Arial" w:cs="Arial" w:eastAsia="Arial" w:hAnsi="Arial"/>
          <w:b/>
          <w:bCs/>
          <w:color w:val="1A3C5E"/>
          <w:sz w:val="36"/>
          <w:szCs w:val="36"/>
        </w:rPr>
        <w:t xml:space="preserve">8. Presentation &amp; Document Standards</w:t>
      </w:r>
    </w:p>
    <w:p>
      <w:pPr>
        <w:pBdr>
          <w:bottom w:val="single" w:color="E5E7EB" w:sz="6" w:space="1"/>
        </w:pBdr>
        <w:spacing w:after="100" w:before="100"/>
      </w:pPr>
      <w:r>
        <w:rPr>
          <w:sz w:val="4"/>
          <w:szCs w:val="4"/>
        </w:rPr>
        <w:t xml:space="preserve"/>
      </w:r>
    </w:p>
    <w:p>
      <w:pPr>
        <w:spacing w:after="40" w:before="200" w:line="280"/>
      </w:pPr>
      <w:r>
        <w:rPr>
          <w:rFonts w:ascii="Arial" w:cs="Arial" w:eastAsia="Arial" w:hAnsi="Arial"/>
          <w:b/>
          <w:bCs/>
          <w:color w:val="F5A623"/>
          <w:spacing w:val="40"/>
          <w:sz w:val="16"/>
          <w:szCs w:val="16"/>
        </w:rPr>
        <w:t xml:space="preserve">8.1 — SLIDE ARCHITECTURE</w:t>
      </w:r>
    </w:p>
    <w:p>
      <w:pPr>
        <w:pStyle w:val="ListParagraph"/>
        <w:numPr>
          <w:ilvl w:val="0"/>
          <w:numId w:val="2"/>
        </w:numPr>
        <w:spacing w:after="60" w:before="0" w:line="280"/>
      </w:pPr>
      <w:r>
        <w:rPr>
          <w:rFonts w:ascii="Arial" w:cs="Arial" w:eastAsia="Arial" w:hAnsi="Arial"/>
          <w:sz w:val="22"/>
          <w:szCs w:val="22"/>
        </w:rPr>
        <w:t xml:space="preserve">Format: 16:9 widescreen (10" × 5.625")</w:t>
      </w:r>
    </w:p>
    <w:p>
      <w:pPr>
        <w:pStyle w:val="ListParagraph"/>
        <w:numPr>
          <w:ilvl w:val="0"/>
          <w:numId w:val="2"/>
        </w:numPr>
        <w:spacing w:after="60" w:before="0" w:line="280"/>
      </w:pPr>
      <w:r>
        <w:rPr>
          <w:rFonts w:ascii="Arial" w:cs="Arial" w:eastAsia="Arial" w:hAnsi="Arial"/>
          <w:sz w:val="22"/>
          <w:szCs w:val="22"/>
        </w:rPr>
        <w:t xml:space="preserve">Dark slides (Navy #1A3C5E): cover, section openers, CTA closes</w:t>
      </w:r>
    </w:p>
    <w:p>
      <w:pPr>
        <w:pStyle w:val="ListParagraph"/>
        <w:numPr>
          <w:ilvl w:val="0"/>
          <w:numId w:val="2"/>
        </w:numPr>
        <w:spacing w:after="60" w:before="0" w:line="280"/>
      </w:pPr>
      <w:r>
        <w:rPr>
          <w:rFonts w:ascii="Arial" w:cs="Arial" w:eastAsia="Arial" w:hAnsi="Arial"/>
          <w:sz w:val="22"/>
          <w:szCs w:val="22"/>
        </w:rPr>
        <w:t xml:space="preserve">Light slides (Cream #F0F4F8): content, data, comparisons</w:t>
      </w:r>
    </w:p>
    <w:p>
      <w:pPr>
        <w:pStyle w:val="ListParagraph"/>
        <w:numPr>
          <w:ilvl w:val="0"/>
          <w:numId w:val="2"/>
        </w:numPr>
        <w:spacing w:after="60" w:before="0" w:line="280"/>
      </w:pPr>
      <w:r>
        <w:rPr>
          <w:rFonts w:ascii="Arial" w:cs="Arial" w:eastAsia="Arial" w:hAnsi="Arial"/>
          <w:sz w:val="22"/>
          <w:szCs w:val="22"/>
        </w:rPr>
        <w:t xml:space="preserve">Sandwich structure: dark cover → light content → dark close</w:t>
      </w:r>
    </w:p>
    <w:p>
      <w:pPr>
        <w:pStyle w:val="ListParagraph"/>
        <w:numPr>
          <w:ilvl w:val="0"/>
          <w:numId w:val="2"/>
        </w:numPr>
        <w:spacing w:after="60" w:before="0" w:line="280"/>
      </w:pPr>
      <w:r>
        <w:rPr>
          <w:rFonts w:ascii="Arial" w:cs="Arial" w:eastAsia="Arial" w:hAnsi="Arial"/>
          <w:sz w:val="22"/>
          <w:szCs w:val="22"/>
        </w:rPr>
        <w:t xml:space="preserve">Every slide has exactly one primary message — never two concepts stacked</w:t>
      </w:r>
    </w:p>
    <w:p>
      <w:pPr>
        <w:pStyle w:val="ListParagraph"/>
        <w:numPr>
          <w:ilvl w:val="0"/>
          <w:numId w:val="2"/>
        </w:numPr>
        <w:spacing w:after="60" w:before="0" w:line="280"/>
      </w:pPr>
      <w:r>
        <w:rPr>
          <w:rFonts w:ascii="Arial" w:cs="Arial" w:eastAsia="Arial" w:hAnsi="Arial"/>
          <w:sz w:val="22"/>
          <w:szCs w:val="22"/>
        </w:rPr>
        <w:t xml:space="preserve">Amber accent bar (0.18" width) on the left edge of split-image slides</w:t>
      </w:r>
    </w:p>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8.2 — DOCUMENT HEADER</w:t>
      </w:r>
    </w:p>
    <w:p>
      <w:pPr>
        <w:spacing w:after="120" w:before="0" w:line="280"/>
        <w:jc w:val="left"/>
      </w:pPr>
      <w:r>
        <w:rPr>
          <w:rFonts w:ascii="Arial" w:cs="Arial" w:eastAsia="Arial" w:hAnsi="Arial"/>
          <w:sz w:val="22"/>
          <w:szCs w:val="22"/>
        </w:rPr>
        <w:t xml:space="preserve">All controlled documents (policies, SOPs, briefs) carry a branded two-tone header:</w:t>
      </w:r>
    </w:p>
    <w:p>
      <w:pPr>
        <w:pStyle w:val="ListParagraph"/>
        <w:numPr>
          <w:ilvl w:val="0"/>
          <w:numId w:val="2"/>
        </w:numPr>
        <w:spacing w:after="60" w:before="0" w:line="280"/>
      </w:pPr>
      <w:r>
        <w:rPr>
          <w:rFonts w:ascii="Arial" w:cs="Arial" w:eastAsia="Arial" w:hAnsi="Arial"/>
          <w:sz w:val="22"/>
          <w:szCs w:val="22"/>
        </w:rPr>
        <w:t xml:space="preserve">Left side (Navy): "PREPRENEURSHIP (PVT.) LTD.  |  [Document Title]" in white</w:t>
      </w:r>
    </w:p>
    <w:p>
      <w:pPr>
        <w:pStyle w:val="ListParagraph"/>
        <w:numPr>
          <w:ilvl w:val="0"/>
          <w:numId w:val="2"/>
        </w:numPr>
        <w:spacing w:after="60" w:before="0" w:line="280"/>
      </w:pPr>
      <w:r>
        <w:rPr>
          <w:rFonts w:ascii="Arial" w:cs="Arial" w:eastAsia="Arial" w:hAnsi="Arial"/>
          <w:sz w:val="22"/>
          <w:szCs w:val="22"/>
        </w:rPr>
        <w:t xml:space="preserve">Right side (Amber): "Dream. Learn. Earn." in navy</w:t>
      </w:r>
    </w:p>
    <w:p>
      <w:pPr>
        <w:pStyle w:val="ListParagraph"/>
        <w:numPr>
          <w:ilvl w:val="0"/>
          <w:numId w:val="2"/>
        </w:numPr>
        <w:spacing w:after="60" w:before="0" w:line="280"/>
      </w:pPr>
      <w:r>
        <w:rPr>
          <w:rFonts w:ascii="Arial" w:cs="Arial" w:eastAsia="Arial" w:hAnsi="Arial"/>
          <w:sz w:val="22"/>
          <w:szCs w:val="22"/>
        </w:rPr>
        <w:t xml:space="preserve">Footer: "Document ID  |  Version  |  Date  |  Confidential"</w:t>
      </w:r>
    </w:p>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8.3 — DOCUMENT NAMING CONVENTION</w:t>
      </w:r>
    </w:p>
    <w:p>
      <w:pPr>
        <w:spacing w:after="120" w:before="0" w:line="280"/>
        <w:jc w:val="left"/>
      </w:pPr>
      <w:r>
        <w:rPr>
          <w:rFonts w:ascii="Arial" w:cs="Arial" w:eastAsia="Arial" w:hAnsi="Arial"/>
          <w:color w:val="6B7280"/>
          <w:sz w:val="22"/>
          <w:szCs w:val="22"/>
        </w:rPr>
        <w:t xml:space="preserve">All institutional documents follow a locked prefix-domain-sequence format. This is non-negotiable for tracking and governance.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20"/>
        <w:gridCol w:w="1920"/>
        <w:gridCol w:w="5520"/>
      </w:tblGrid>
      <w:tr>
        <w:trPr>
          <w:tblHeader/>
        </w:trPr>
        <w:tc>
          <w:tcPr>
            <w:tcW w:type="dxa" w:w="192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PREFIX</w:t>
            </w:r>
          </w:p>
        </w:tc>
        <w:tc>
          <w:tcPr>
            <w:tcW w:type="dxa" w:w="192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DOCUMENT TYPE</w:t>
            </w:r>
          </w:p>
        </w:tc>
        <w:tc>
          <w:tcPr>
            <w:tcW w:type="dxa" w:w="5520"/>
            <w:tcBorders>
              <w:top w:val="single" w:color="E5E7EB" w:sz="4"/>
              <w:left w:val="single" w:color="E5E7EB" w:sz="4"/>
              <w:bottom w:val="single" w:color="E5E7EB" w:sz="4"/>
              <w:right w:val="single" w:color="E5E7EB" w:sz="4"/>
            </w:tcBorders>
            <w:shd w:fill="1A3C5E" w:val="clear"/>
            <w:tcMar>
              <w:top w:type="dxa" w:w="120"/>
              <w:left w:type="dxa" w:w="160"/>
              <w:bottom w:type="dxa" w:w="120"/>
              <w:right w:type="dxa" w:w="160"/>
            </w:tcMar>
            <w:vAlign w:val="center"/>
          </w:tcPr>
          <w:p>
            <w:r>
              <w:rPr>
                <w:rFonts w:ascii="Arial" w:cs="Arial" w:eastAsia="Arial" w:hAnsi="Arial"/>
                <w:b/>
                <w:bCs/>
                <w:caps/>
                <w:color w:val="FFFFFF"/>
                <w:sz w:val="19"/>
                <w:szCs w:val="19"/>
              </w:rPr>
              <w:t xml:space="preserve">EXAMPLE</w:t>
            </w:r>
          </w:p>
        </w:tc>
      </w:tr>
      <w:tr>
        <w:tc>
          <w:tcPr>
            <w:tcW w:type="dxa" w:w="19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b/>
                <w:bCs/>
                <w:sz w:val="21"/>
                <w:szCs w:val="21"/>
              </w:rPr>
              <w:t xml:space="preserve">POL-</w:t>
            </w:r>
          </w:p>
        </w:tc>
        <w:tc>
          <w:tcPr>
            <w:tcW w:type="dxa" w:w="19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Policy</w:t>
            </w:r>
          </w:p>
        </w:tc>
        <w:tc>
          <w:tcPr>
            <w:tcW w:type="dxa" w:w="55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0"/>
                <w:szCs w:val="20"/>
              </w:rPr>
              <w:t xml:space="preserve">POL-DC-01_Document_Records_Control_Policy</w:t>
            </w:r>
          </w:p>
        </w:tc>
      </w:tr>
      <w:tr>
        <w:tc>
          <w:tcPr>
            <w:tcW w:type="dxa" w:w="19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b/>
                <w:bCs/>
                <w:sz w:val="21"/>
                <w:szCs w:val="21"/>
              </w:rPr>
              <w:t xml:space="preserve">SOP-</w:t>
            </w:r>
          </w:p>
        </w:tc>
        <w:tc>
          <w:tcPr>
            <w:tcW w:type="dxa" w:w="19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Standard Operating Procedure</w:t>
            </w:r>
          </w:p>
        </w:tc>
        <w:tc>
          <w:tcPr>
            <w:tcW w:type="dxa" w:w="55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0"/>
                <w:szCs w:val="20"/>
              </w:rPr>
              <w:t xml:space="preserve">SOP-ST-02_EOMS_Scope_Statement</w:t>
            </w:r>
          </w:p>
        </w:tc>
      </w:tr>
      <w:tr>
        <w:tc>
          <w:tcPr>
            <w:tcW w:type="dxa" w:w="19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b/>
                <w:bCs/>
                <w:sz w:val="21"/>
                <w:szCs w:val="21"/>
              </w:rPr>
              <w:t xml:space="preserve">LEG-</w:t>
            </w:r>
          </w:p>
        </w:tc>
        <w:tc>
          <w:tcPr>
            <w:tcW w:type="dxa" w:w="19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Legal</w:t>
            </w:r>
          </w:p>
        </w:tc>
        <w:tc>
          <w:tcPr>
            <w:tcW w:type="dxa" w:w="55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0"/>
                <w:szCs w:val="20"/>
              </w:rPr>
              <w:t xml:space="preserve">LEG-HR-02_Employment_Agreement_Template</w:t>
            </w:r>
          </w:p>
        </w:tc>
      </w:tr>
      <w:tr>
        <w:tc>
          <w:tcPr>
            <w:tcW w:type="dxa" w:w="19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b/>
                <w:bCs/>
                <w:sz w:val="21"/>
                <w:szCs w:val="21"/>
              </w:rPr>
              <w:t xml:space="preserve">MKT-</w:t>
            </w:r>
          </w:p>
        </w:tc>
        <w:tc>
          <w:tcPr>
            <w:tcW w:type="dxa" w:w="19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Marketing</w:t>
            </w:r>
          </w:p>
        </w:tc>
        <w:tc>
          <w:tcPr>
            <w:tcW w:type="dxa" w:w="55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0"/>
                <w:szCs w:val="20"/>
              </w:rPr>
              <w:t xml:space="preserve">MKT-VID-01_Identity_Shock_Series_v1</w:t>
            </w:r>
          </w:p>
        </w:tc>
      </w:tr>
      <w:tr>
        <w:tc>
          <w:tcPr>
            <w:tcW w:type="dxa" w:w="19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b/>
                <w:bCs/>
                <w:sz w:val="21"/>
                <w:szCs w:val="21"/>
              </w:rPr>
              <w:t xml:space="preserve">AAS-</w:t>
            </w:r>
          </w:p>
        </w:tc>
        <w:tc>
          <w:tcPr>
            <w:tcW w:type="dxa" w:w="19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Acquisition / Admissions</w:t>
            </w:r>
          </w:p>
        </w:tc>
        <w:tc>
          <w:tcPr>
            <w:tcW w:type="dxa" w:w="55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0"/>
                <w:szCs w:val="20"/>
              </w:rPr>
              <w:t xml:space="preserve">AAS-01_Master_Acquisition_Playbook</w:t>
            </w:r>
          </w:p>
        </w:tc>
      </w:tr>
      <w:tr>
        <w:tc>
          <w:tcPr>
            <w:tcW w:type="dxa" w:w="19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b/>
                <w:bCs/>
                <w:sz w:val="21"/>
                <w:szCs w:val="21"/>
              </w:rPr>
              <w:t xml:space="preserve">LOG-</w:t>
            </w:r>
          </w:p>
        </w:tc>
        <w:tc>
          <w:tcPr>
            <w:tcW w:type="dxa" w:w="19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Log / Record List</w:t>
            </w:r>
          </w:p>
        </w:tc>
        <w:tc>
          <w:tcPr>
            <w:tcW w:type="dxa" w:w="55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Consolas" w:cs="Consolas" w:eastAsia="Consolas" w:hAnsi="Consolas"/>
                <w:sz w:val="20"/>
                <w:szCs w:val="20"/>
              </w:rPr>
              <w:t xml:space="preserve">LOG-DC-01-02_Master_Document_Record_List</w:t>
            </w:r>
          </w:p>
        </w:tc>
      </w:tr>
    </w:tbl>
    <w:p>
      <w:r>
        <w:br w:type="page"/>
      </w:r>
    </w:p>
    <w:p>
      <w:pPr>
        <w:pStyle w:val="Heading1"/>
      </w:pPr>
      <w:r>
        <w:rPr>
          <w:rFonts w:ascii="Arial" w:cs="Arial" w:eastAsia="Arial" w:hAnsi="Arial"/>
          <w:b/>
          <w:bCs/>
          <w:color w:val="1A3C5E"/>
          <w:sz w:val="36"/>
          <w:szCs w:val="36"/>
        </w:rPr>
        <w:t xml:space="preserve">9. Prepreneurship Tower — Naming &amp; Address</w:t>
      </w:r>
    </w:p>
    <w:p>
      <w:pPr>
        <w:pBdr>
          <w:bottom w:val="single" w:color="E5E7EB" w:sz="6" w:space="1"/>
        </w:pBdr>
        <w:spacing w:after="100" w:before="100"/>
      </w:pPr>
      <w:r>
        <w:rPr>
          <w:sz w:val="4"/>
          <w:szCs w:val="4"/>
        </w:rPr>
        <w:t xml:space="preserve"/>
      </w:r>
    </w:p>
    <w:p>
      <w:pPr>
        <w:spacing w:after="200" w:before="0" w:line="280"/>
        <w:jc w:val="left"/>
      </w:pPr>
      <w:r>
        <w:rPr>
          <w:rFonts w:ascii="Arial" w:cs="Arial" w:eastAsia="Arial" w:hAnsi="Arial"/>
          <w:color w:val="6B7280"/>
          <w:sz w:val="22"/>
          <w:szCs w:val="22"/>
        </w:rPr>
        <w:t xml:space="preserve">The Tower is a public-facing asset and a major brand surface. Naming and address must be used exactly as defined.</w:t>
      </w:r>
    </w:p>
    <w:p>
      <w:pPr>
        <w:spacing w:after="40" w:before="200" w:line="280"/>
      </w:pPr>
      <w:r>
        <w:rPr>
          <w:rFonts w:ascii="Arial" w:cs="Arial" w:eastAsia="Arial" w:hAnsi="Arial"/>
          <w:b/>
          <w:bCs/>
          <w:color w:val="F5A623"/>
          <w:spacing w:val="40"/>
          <w:sz w:val="16"/>
          <w:szCs w:val="16"/>
        </w:rPr>
        <w:t xml:space="preserve">9.1 — OFFICIAL NAMING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Public Name</w:t>
            </w:r>
          </w:p>
        </w:tc>
        <w:tc>
          <w:tcPr>
            <w:tcW w:type="dxa" w:w="62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Prepreneurship Tower</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Casual / Short Form</w:t>
            </w:r>
          </w:p>
        </w:tc>
        <w:tc>
          <w:tcPr>
            <w:tcW w:type="dxa" w:w="62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Pp’ship Tower</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Building Signage</w:t>
            </w:r>
          </w:p>
        </w:tc>
        <w:tc>
          <w:tcPr>
            <w:tcW w:type="dxa" w:w="62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PRE-PRENEURSHIP TOWER  ·  DREAM, LEARN &amp; EARN AT ONE PLACE</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Legal Operator</w:t>
            </w:r>
          </w:p>
        </w:tc>
        <w:tc>
          <w:tcPr>
            <w:tcW w:type="dxa" w:w="62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Pre-preneurship (Pvt.) Ltd.</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Public Address</w:t>
            </w:r>
          </w:p>
        </w:tc>
        <w:tc>
          <w:tcPr>
            <w:tcW w:type="dxa" w:w="62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Pp’ship Tower, Chamanzar Hills, Islamabad</w:t>
            </w:r>
          </w:p>
        </w:tc>
      </w:tr>
      <w:tr>
        <w:tc>
          <w:tcPr>
            <w:tcW w:type="dxa" w:w="312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b/>
                <w:bCs/>
                <w:sz w:val="21"/>
                <w:szCs w:val="21"/>
              </w:rPr>
              <w:t xml:space="preserve">Full Address</w:t>
            </w:r>
          </w:p>
        </w:tc>
        <w:tc>
          <w:tcPr>
            <w:tcW w:type="dxa" w:w="624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Lower Ground Floor, 17 HILLS Apartment, 17 Mile, Barakahu, Islamabad, Pakistan</w:t>
            </w:r>
          </w:p>
        </w:tc>
      </w:tr>
    </w:tbl>
    <w:p>
      <w:pPr>
        <w:spacing w:after="0" w:before="200"/>
      </w:pPr>
      <w:r>
        <w:rPr>
          <w:sz w:val="16"/>
          <w:szCs w:val="16"/>
        </w:rPr>
        <w:t xml:space="preserve"/>
      </w:r>
    </w:p>
    <w:p>
      <w:pPr>
        <w:spacing w:after="40" w:before="200" w:line="280"/>
      </w:pPr>
      <w:r>
        <w:rPr>
          <w:rFonts w:ascii="Arial" w:cs="Arial" w:eastAsia="Arial" w:hAnsi="Arial"/>
          <w:b/>
          <w:bCs/>
          <w:color w:val="F5A623"/>
          <w:spacing w:val="40"/>
          <w:sz w:val="16"/>
          <w:szCs w:val="16"/>
        </w:rPr>
        <w:t xml:space="preserve">9.2 — TOWER POSITIONING (PUBLIC LANGUAGE)</w:t>
      </w:r>
    </w:p>
    <w:tbl>
      <w:tblPr>
        <w:tblW w:type="dxa" w:w="9360"/>
        <w:tblBorders>
          <w:top w:val="single" w:color="E5E7EB" w:sz="6"/>
          <w:left w:val="single" w:color="F5A623" w:sz="24"/>
          <w:bottom w:val="single" w:color="E5E7EB" w:sz="6"/>
          <w:right w:val="single" w:color="E5E7EB" w:sz="6"/>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0F4F8" w:val="clear"/>
            <w:tcMar>
              <w:top w:type="dxa" w:w="200"/>
              <w:left w:type="dxa" w:w="280"/>
              <w:bottom w:type="dxa" w:w="200"/>
              <w:right w:type="dxa" w:w="200"/>
            </w:tcMar>
          </w:tcPr>
          <w:p>
            <w:pPr>
              <w:spacing w:line="320"/>
            </w:pPr>
            <w:r>
              <w:rPr>
                <w:rFonts w:ascii="Arial" w:cs="Arial" w:eastAsia="Arial" w:hAnsi="Arial"/>
                <w:i/>
                <w:iCs/>
                <w:color w:val="1A3C5E"/>
                <w:sz w:val="24"/>
                <w:szCs w:val="24"/>
              </w:rPr>
              <w:t xml:space="preserve">Prepreneurship Tower is not a real estate development. It is Pakistan’s first tech ecosystem — a physical infrastructure built to produce, house, and sustain the country’s next generation of digital professionals.</w:t>
            </w:r>
          </w:p>
        </w:tc>
      </w:tr>
    </w:tbl>
    <w:p>
      <w:pPr>
        <w:spacing w:after="0" w:before="160"/>
      </w:pPr>
      <w:r>
        <w:rPr>
          <w:sz w:val="16"/>
          <w:szCs w:val="16"/>
        </w:rPr>
        <w:t xml:space="preserve"/>
      </w:r>
    </w:p>
    <w:p>
      <w:pPr>
        <w:spacing w:after="200" w:before="0" w:line="280"/>
        <w:jc w:val="left"/>
      </w:pPr>
      <w:r>
        <w:rPr>
          <w:rFonts w:ascii="Arial" w:cs="Arial" w:eastAsia="Arial" w:hAnsi="Arial"/>
          <w:i/>
          <w:iCs/>
          <w:color w:val="6B7280"/>
          <w:sz w:val="22"/>
          <w:szCs w:val="22"/>
        </w:rPr>
        <w:t xml:space="preserve">The Tower is a building that exists to serve a mission. The mission is Pakistan’s digital economy transformation. The building is the evidence that the mission is real.</w:t>
      </w:r>
    </w:p>
    <w:p>
      <w:pPr>
        <w:spacing w:after="40" w:before="200" w:line="280"/>
      </w:pPr>
      <w:r>
        <w:rPr>
          <w:rFonts w:ascii="Arial" w:cs="Arial" w:eastAsia="Arial" w:hAnsi="Arial"/>
          <w:b/>
          <w:bCs/>
          <w:color w:val="F5A623"/>
          <w:spacing w:val="40"/>
          <w:sz w:val="16"/>
          <w:szCs w:val="16"/>
        </w:rPr>
        <w:t xml:space="preserve">9.3 — TOWER LANGUAGE — DO / DON’T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r>
              <w:rPr>
                <w:rFonts w:ascii="Arial" w:cs="Arial" w:eastAsia="Arial" w:hAnsi="Arial"/>
                <w:b/>
                <w:bCs/>
                <w:color w:val="065F46"/>
                <w:sz w:val="22"/>
                <w:szCs w:val="22"/>
              </w:rPr>
              <w:t xml:space="preserve">✓ ALWAYS</w:t>
            </w:r>
          </w:p>
        </w:tc>
        <w:tc>
          <w:tcPr>
            <w:tcW w:type="dxa" w:w="4680"/>
            <w:tcBorders>
              <w:top w:val="single" w:color="E5E7EB" w:sz="4"/>
              <w:left w:val="single" w:color="E5E7EB" w:sz="4"/>
              <w:bottom w:val="single" w:color="E5E7EB" w:sz="4"/>
              <w:right w:val="single" w:color="E5E7EB" w:sz="4"/>
            </w:tcBorders>
            <w:shd w:fill="F0F4F8" w:val="clear"/>
            <w:tcMar>
              <w:top w:type="dxa" w:w="120"/>
              <w:left w:type="dxa" w:w="160"/>
              <w:bottom w:type="dxa" w:w="120"/>
              <w:right w:type="dxa" w:w="160"/>
            </w:tcMar>
            <w:vAlign w:val="center"/>
          </w:tcPr>
          <w:p>
            <w:r>
              <w:rPr>
                <w:rFonts w:ascii="Arial" w:cs="Arial" w:eastAsia="Arial" w:hAnsi="Arial"/>
                <w:b/>
                <w:bCs/>
                <w:color w:val="C53030"/>
                <w:sz w:val="22"/>
                <w:szCs w:val="22"/>
              </w:rPr>
              <w:t xml:space="preserve">✗ NEVER</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"Pakistan’s first live-learn-earn tech ecosystem"</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"Luxurious living" or "premium amenities"</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"Purpose-built infrastructure"</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"Prime location" or "golden opportunity"</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"Phase 1 operational June 1, 2026"</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"Invest now before it’s too late"</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"Floors 4–6 completing Q3 2026"</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Renders shown without "Completing Q3 2026" label</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"Conviction. Mission. Discipline."</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Property-developer language of any kind</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Honest phasing — what is open, what is coming</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Implying everything is operational on Day 1</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"Ecosystem participation, not real estate"</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Treating units as fragmented apartment investments</w:t>
            </w:r>
          </w:p>
        </w:tc>
      </w:tr>
      <w:tr>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Reference Quaid-e-Azam University, COMSATS, IMDC nearby</w:t>
            </w:r>
          </w:p>
        </w:tc>
        <w:tc>
          <w:tcPr>
            <w:tcW w:type="dxa" w:w="4680"/>
            <w:tcBorders>
              <w:top w:val="single" w:color="E5E7EB" w:sz="4"/>
              <w:left w:val="single" w:color="E5E7EB" w:sz="4"/>
              <w:bottom w:val="single" w:color="E5E7EB" w:sz="4"/>
              <w:right w:val="single" w:color="E5E7EB" w:sz="4"/>
            </w:tcBorders>
            <w:tcMar>
              <w:top w:type="dxa" w:w="120"/>
              <w:left w:type="dxa" w:w="160"/>
              <w:bottom w:type="dxa" w:w="120"/>
              <w:right w:type="dxa" w:w="160"/>
            </w:tcMar>
            <w:vAlign w:val="center"/>
          </w:tcPr>
          <w:p>
            <w:pPr>
              <w:spacing w:after="80" w:before="0" w:line="280"/>
              <w:jc w:val="left"/>
            </w:pPr>
            <w:r>
              <w:rPr>
                <w:rFonts w:ascii="Arial" w:cs="Arial" w:eastAsia="Arial" w:hAnsi="Arial"/>
                <w:sz w:val="21"/>
                <w:szCs w:val="21"/>
              </w:rPr>
              <w:t xml:space="preserve">Compare to DHA, Bahria Town, or other developers</w:t>
            </w:r>
          </w:p>
        </w:tc>
      </w:tr>
    </w:tbl>
    <w:p>
      <w:r>
        <w:br w:type="page"/>
      </w:r>
    </w:p>
    <w:p>
      <w:pPr>
        <w:pStyle w:val="Heading1"/>
      </w:pPr>
      <w:r>
        <w:rPr>
          <w:rFonts w:ascii="Arial" w:cs="Arial" w:eastAsia="Arial" w:hAnsi="Arial"/>
          <w:b/>
          <w:bCs/>
          <w:color w:val="1A3C5E"/>
          <w:sz w:val="36"/>
          <w:szCs w:val="36"/>
        </w:rPr>
        <w:t xml:space="preserve">10. Non-Negotiables Summary</w:t>
      </w:r>
    </w:p>
    <w:p>
      <w:pPr>
        <w:pBdr>
          <w:bottom w:val="single" w:color="E5E7EB" w:sz="6" w:space="1"/>
        </w:pBdr>
        <w:spacing w:after="100" w:before="100"/>
      </w:pPr>
      <w:r>
        <w:rPr>
          <w:sz w:val="4"/>
          <w:szCs w:val="4"/>
        </w:rPr>
        <w:t xml:space="preserve"/>
      </w:r>
    </w:p>
    <w:p>
      <w:pPr>
        <w:spacing w:after="200" w:before="0" w:line="280"/>
        <w:jc w:val="left"/>
      </w:pPr>
      <w:r>
        <w:rPr>
          <w:rFonts w:ascii="Arial" w:cs="Arial" w:eastAsia="Arial" w:hAnsi="Arial"/>
          <w:i/>
          <w:iCs/>
          <w:color w:val="6B7280"/>
          <w:sz w:val="22"/>
          <w:szCs w:val="22"/>
        </w:rPr>
        <w:t xml:space="preserve">These rules override all other design or copy decisions. Any deviation requires written CEO approval. Print this page. Pin it to the wall.</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600"/>
        <w:gridCol w:w="8760"/>
      </w:tblGrid>
      <w:tr>
        <w:tc>
          <w:tcPr>
            <w:tcW w:type="dxa" w:w="600"/>
            <w:tcBorders>
              <w:top w:val="none" w:color="FFFFFF" w:sz="0"/>
              <w:left w:val="none" w:color="FFFFFF" w:sz="0"/>
              <w:bottom w:val="none" w:color="FFFFFF" w:sz="0"/>
              <w:right w:val="none" w:color="FFFFFF" w:sz="0"/>
            </w:tcBorders>
            <w:tcMar>
              <w:top w:type="dxa" w:w="120"/>
              <w:left w:type="dxa" w:w="0"/>
              <w:bottom w:type="dxa" w:w="120"/>
              <w:right w:type="dxa" w:w="80"/>
            </w:tcMar>
            <w:vAlign w:val="top"/>
          </w:tcPr>
          <w:p>
            <w:r>
              <w:rPr>
                <w:rFonts w:ascii="Arial" w:cs="Arial" w:eastAsia="Arial" w:hAnsi="Arial"/>
                <w:b/>
                <w:bCs/>
                <w:color w:val="F5A623"/>
                <w:sz w:val="28"/>
                <w:szCs w:val="28"/>
              </w:rPr>
              <w:t xml:space="preserve">01</w:t>
            </w:r>
          </w:p>
        </w:tc>
        <w:tc>
          <w:tcPr>
            <w:tcW w:type="dxa" w:w="8760"/>
            <w:tcBorders>
              <w:top w:val="none" w:color="FFFFFF" w:sz="0"/>
              <w:left w:val="none" w:color="FFFFFF" w:sz="0"/>
              <w:bottom w:val="none" w:color="FFFFFF" w:sz="0"/>
              <w:right w:val="none" w:color="FFFFFF" w:sz="0"/>
            </w:tcBorders>
            <w:tcMar>
              <w:top w:type="dxa" w:w="120"/>
              <w:left w:type="dxa" w:w="80"/>
              <w:bottom w:type="dxa" w:w="120"/>
              <w:right w:type="dxa" w:w="0"/>
            </w:tcMar>
            <w:vAlign w:val="top"/>
          </w:tcPr>
          <w:p>
            <w:pPr>
              <w:spacing w:line="300"/>
            </w:pPr>
            <w:r>
              <w:rPr>
                <w:rFonts w:ascii="Arial" w:cs="Arial" w:eastAsia="Arial" w:hAnsi="Arial"/>
                <w:color w:val="111827"/>
                <w:sz w:val="22"/>
                <w:szCs w:val="22"/>
              </w:rPr>
              <w:t xml:space="preserve">"Dream. Learn. Earn." is the primary tagline. Exact punctuation. Always.</w:t>
            </w:r>
          </w:p>
        </w:tc>
      </w:tr>
      <w:tr>
        <w:tc>
          <w:tcPr>
            <w:tcW w:type="dxa" w:w="600"/>
            <w:tcBorders>
              <w:top w:val="none" w:color="FFFFFF" w:sz="0"/>
              <w:left w:val="none" w:color="FFFFFF" w:sz="0"/>
              <w:bottom w:val="none" w:color="FFFFFF" w:sz="0"/>
              <w:right w:val="none" w:color="FFFFFF" w:sz="0"/>
            </w:tcBorders>
            <w:tcMar>
              <w:top w:type="dxa" w:w="120"/>
              <w:left w:type="dxa" w:w="0"/>
              <w:bottom w:type="dxa" w:w="120"/>
              <w:right w:type="dxa" w:w="80"/>
            </w:tcMar>
            <w:vAlign w:val="top"/>
          </w:tcPr>
          <w:p>
            <w:r>
              <w:rPr>
                <w:rFonts w:ascii="Arial" w:cs="Arial" w:eastAsia="Arial" w:hAnsi="Arial"/>
                <w:b/>
                <w:bCs/>
                <w:color w:val="F5A623"/>
                <w:sz w:val="28"/>
                <w:szCs w:val="28"/>
              </w:rPr>
              <w:t xml:space="preserve">02</w:t>
            </w:r>
          </w:p>
        </w:tc>
        <w:tc>
          <w:tcPr>
            <w:tcW w:type="dxa" w:w="8760"/>
            <w:tcBorders>
              <w:top w:val="none" w:color="FFFFFF" w:sz="0"/>
              <w:left w:val="none" w:color="FFFFFF" w:sz="0"/>
              <w:bottom w:val="none" w:color="FFFFFF" w:sz="0"/>
              <w:right w:val="none" w:color="FFFFFF" w:sz="0"/>
            </w:tcBorders>
            <w:tcMar>
              <w:top w:type="dxa" w:w="120"/>
              <w:left w:type="dxa" w:w="80"/>
              <w:bottom w:type="dxa" w:w="120"/>
              <w:right w:type="dxa" w:w="0"/>
            </w:tcMar>
            <w:vAlign w:val="top"/>
          </w:tcPr>
          <w:p>
            <w:pPr>
              <w:spacing w:line="300"/>
            </w:pPr>
            <w:r>
              <w:rPr>
                <w:rFonts w:ascii="Arial" w:cs="Arial" w:eastAsia="Arial" w:hAnsi="Arial"/>
                <w:color w:val="111827"/>
                <w:sz w:val="22"/>
                <w:szCs w:val="22"/>
              </w:rPr>
              <w:t xml:space="preserve">The amber #F5A623 is the accent colour. Not gold, not teal, not orange-red.</w:t>
            </w:r>
          </w:p>
        </w:tc>
      </w:tr>
      <w:tr>
        <w:tc>
          <w:tcPr>
            <w:tcW w:type="dxa" w:w="600"/>
            <w:tcBorders>
              <w:top w:val="none" w:color="FFFFFF" w:sz="0"/>
              <w:left w:val="none" w:color="FFFFFF" w:sz="0"/>
              <w:bottom w:val="none" w:color="FFFFFF" w:sz="0"/>
              <w:right w:val="none" w:color="FFFFFF" w:sz="0"/>
            </w:tcBorders>
            <w:tcMar>
              <w:top w:type="dxa" w:w="120"/>
              <w:left w:type="dxa" w:w="0"/>
              <w:bottom w:type="dxa" w:w="120"/>
              <w:right w:type="dxa" w:w="80"/>
            </w:tcMar>
            <w:vAlign w:val="top"/>
          </w:tcPr>
          <w:p>
            <w:r>
              <w:rPr>
                <w:rFonts w:ascii="Arial" w:cs="Arial" w:eastAsia="Arial" w:hAnsi="Arial"/>
                <w:b/>
                <w:bCs/>
                <w:color w:val="F5A623"/>
                <w:sz w:val="28"/>
                <w:szCs w:val="28"/>
              </w:rPr>
              <w:t xml:space="preserve">03</w:t>
            </w:r>
          </w:p>
        </w:tc>
        <w:tc>
          <w:tcPr>
            <w:tcW w:type="dxa" w:w="8760"/>
            <w:tcBorders>
              <w:top w:val="none" w:color="FFFFFF" w:sz="0"/>
              <w:left w:val="none" w:color="FFFFFF" w:sz="0"/>
              <w:bottom w:val="none" w:color="FFFFFF" w:sz="0"/>
              <w:right w:val="none" w:color="FFFFFF" w:sz="0"/>
            </w:tcBorders>
            <w:tcMar>
              <w:top w:type="dxa" w:w="120"/>
              <w:left w:type="dxa" w:w="80"/>
              <w:bottom w:type="dxa" w:w="120"/>
              <w:right w:type="dxa" w:w="0"/>
            </w:tcMar>
            <w:vAlign w:val="top"/>
          </w:tcPr>
          <w:p>
            <w:pPr>
              <w:spacing w:line="300"/>
            </w:pPr>
            <w:r>
              <w:rPr>
                <w:rFonts w:ascii="Arial" w:cs="Arial" w:eastAsia="Arial" w:hAnsi="Arial"/>
                <w:color w:val="111827"/>
                <w:sz w:val="22"/>
                <w:szCs w:val="22"/>
              </w:rPr>
              <w:t xml:space="preserve">Prepreneurship is never described as a charity, welfare programme, or casual course.</w:t>
            </w:r>
          </w:p>
        </w:tc>
      </w:tr>
      <w:tr>
        <w:tc>
          <w:tcPr>
            <w:tcW w:type="dxa" w:w="600"/>
            <w:tcBorders>
              <w:top w:val="none" w:color="FFFFFF" w:sz="0"/>
              <w:left w:val="none" w:color="FFFFFF" w:sz="0"/>
              <w:bottom w:val="none" w:color="FFFFFF" w:sz="0"/>
              <w:right w:val="none" w:color="FFFFFF" w:sz="0"/>
            </w:tcBorders>
            <w:tcMar>
              <w:top w:type="dxa" w:w="120"/>
              <w:left w:type="dxa" w:w="0"/>
              <w:bottom w:type="dxa" w:w="120"/>
              <w:right w:type="dxa" w:w="80"/>
            </w:tcMar>
            <w:vAlign w:val="top"/>
          </w:tcPr>
          <w:p>
            <w:r>
              <w:rPr>
                <w:rFonts w:ascii="Arial" w:cs="Arial" w:eastAsia="Arial" w:hAnsi="Arial"/>
                <w:b/>
                <w:bCs/>
                <w:color w:val="F5A623"/>
                <w:sz w:val="28"/>
                <w:szCs w:val="28"/>
              </w:rPr>
              <w:t xml:space="preserve">04</w:t>
            </w:r>
          </w:p>
        </w:tc>
        <w:tc>
          <w:tcPr>
            <w:tcW w:type="dxa" w:w="8760"/>
            <w:tcBorders>
              <w:top w:val="none" w:color="FFFFFF" w:sz="0"/>
              <w:left w:val="none" w:color="FFFFFF" w:sz="0"/>
              <w:bottom w:val="none" w:color="FFFFFF" w:sz="0"/>
              <w:right w:val="none" w:color="FFFFFF" w:sz="0"/>
            </w:tcBorders>
            <w:tcMar>
              <w:top w:type="dxa" w:w="120"/>
              <w:left w:type="dxa" w:w="80"/>
              <w:bottom w:type="dxa" w:w="120"/>
              <w:right w:type="dxa" w:w="0"/>
            </w:tcMar>
            <w:vAlign w:val="top"/>
          </w:tcPr>
          <w:p>
            <w:pPr>
              <w:spacing w:line="300"/>
            </w:pPr>
            <w:r>
              <w:rPr>
                <w:rFonts w:ascii="Arial" w:cs="Arial" w:eastAsia="Arial" w:hAnsi="Arial"/>
                <w:color w:val="111827"/>
                <w:sz w:val="22"/>
                <w:szCs w:val="22"/>
              </w:rPr>
              <w:t xml:space="preserve">The 5-layer pipeline is always shown as a complete ecosystem — never one layer in isolation.</w:t>
            </w:r>
          </w:p>
        </w:tc>
      </w:tr>
      <w:tr>
        <w:tc>
          <w:tcPr>
            <w:tcW w:type="dxa" w:w="600"/>
            <w:tcBorders>
              <w:top w:val="none" w:color="FFFFFF" w:sz="0"/>
              <w:left w:val="none" w:color="FFFFFF" w:sz="0"/>
              <w:bottom w:val="none" w:color="FFFFFF" w:sz="0"/>
              <w:right w:val="none" w:color="FFFFFF" w:sz="0"/>
            </w:tcBorders>
            <w:tcMar>
              <w:top w:type="dxa" w:w="120"/>
              <w:left w:type="dxa" w:w="0"/>
              <w:bottom w:type="dxa" w:w="120"/>
              <w:right w:type="dxa" w:w="80"/>
            </w:tcMar>
            <w:vAlign w:val="top"/>
          </w:tcPr>
          <w:p>
            <w:r>
              <w:rPr>
                <w:rFonts w:ascii="Arial" w:cs="Arial" w:eastAsia="Arial" w:hAnsi="Arial"/>
                <w:b/>
                <w:bCs/>
                <w:color w:val="F5A623"/>
                <w:sz w:val="28"/>
                <w:szCs w:val="28"/>
              </w:rPr>
              <w:t xml:space="preserve">05</w:t>
            </w:r>
          </w:p>
        </w:tc>
        <w:tc>
          <w:tcPr>
            <w:tcW w:type="dxa" w:w="8760"/>
            <w:tcBorders>
              <w:top w:val="none" w:color="FFFFFF" w:sz="0"/>
              <w:left w:val="none" w:color="FFFFFF" w:sz="0"/>
              <w:bottom w:val="none" w:color="FFFFFF" w:sz="0"/>
              <w:right w:val="none" w:color="FFFFFF" w:sz="0"/>
            </w:tcBorders>
            <w:tcMar>
              <w:top w:type="dxa" w:w="120"/>
              <w:left w:type="dxa" w:w="80"/>
              <w:bottom w:type="dxa" w:w="120"/>
              <w:right w:type="dxa" w:w="0"/>
            </w:tcMar>
            <w:vAlign w:val="top"/>
          </w:tcPr>
          <w:p>
            <w:pPr>
              <w:spacing w:line="300"/>
            </w:pPr>
            <w:r>
              <w:rPr>
                <w:rFonts w:ascii="Arial" w:cs="Arial" w:eastAsia="Arial" w:hAnsi="Arial"/>
                <w:color w:val="111827"/>
                <w:sz w:val="22"/>
                <w:szCs w:val="22"/>
              </w:rPr>
              <w:t xml:space="preserve">The Tower is labelled "Phase 1 operational" or "Phase 2 completing Q3 2026" — never implied as fully open.</w:t>
            </w:r>
          </w:p>
        </w:tc>
      </w:tr>
      <w:tr>
        <w:tc>
          <w:tcPr>
            <w:tcW w:type="dxa" w:w="600"/>
            <w:tcBorders>
              <w:top w:val="none" w:color="FFFFFF" w:sz="0"/>
              <w:left w:val="none" w:color="FFFFFF" w:sz="0"/>
              <w:bottom w:val="none" w:color="FFFFFF" w:sz="0"/>
              <w:right w:val="none" w:color="FFFFFF" w:sz="0"/>
            </w:tcBorders>
            <w:tcMar>
              <w:top w:type="dxa" w:w="120"/>
              <w:left w:type="dxa" w:w="0"/>
              <w:bottom w:type="dxa" w:w="120"/>
              <w:right w:type="dxa" w:w="80"/>
            </w:tcMar>
            <w:vAlign w:val="top"/>
          </w:tcPr>
          <w:p>
            <w:r>
              <w:rPr>
                <w:rFonts w:ascii="Arial" w:cs="Arial" w:eastAsia="Arial" w:hAnsi="Arial"/>
                <w:b/>
                <w:bCs/>
                <w:color w:val="F5A623"/>
                <w:sz w:val="28"/>
                <w:szCs w:val="28"/>
              </w:rPr>
              <w:t xml:space="preserve">06</w:t>
            </w:r>
          </w:p>
        </w:tc>
        <w:tc>
          <w:tcPr>
            <w:tcW w:type="dxa" w:w="8760"/>
            <w:tcBorders>
              <w:top w:val="none" w:color="FFFFFF" w:sz="0"/>
              <w:left w:val="none" w:color="FFFFFF" w:sz="0"/>
              <w:bottom w:val="none" w:color="FFFFFF" w:sz="0"/>
              <w:right w:val="none" w:color="FFFFFF" w:sz="0"/>
            </w:tcBorders>
            <w:tcMar>
              <w:top w:type="dxa" w:w="120"/>
              <w:left w:type="dxa" w:w="80"/>
              <w:bottom w:type="dxa" w:w="120"/>
              <w:right w:type="dxa" w:w="0"/>
            </w:tcMar>
            <w:vAlign w:val="top"/>
          </w:tcPr>
          <w:p>
            <w:pPr>
              <w:spacing w:line="300"/>
            </w:pPr>
            <w:r>
              <w:rPr>
                <w:rFonts w:ascii="Arial" w:cs="Arial" w:eastAsia="Arial" w:hAnsi="Arial"/>
                <w:color w:val="111827"/>
                <w:sz w:val="22"/>
                <w:szCs w:val="22"/>
              </w:rPr>
              <w:t xml:space="preserve">EduPro is at its own URL/page — never buried as a sub-item under Programs.</w:t>
            </w:r>
          </w:p>
        </w:tc>
      </w:tr>
      <w:tr>
        <w:tc>
          <w:tcPr>
            <w:tcW w:type="dxa" w:w="600"/>
            <w:tcBorders>
              <w:top w:val="none" w:color="FFFFFF" w:sz="0"/>
              <w:left w:val="none" w:color="FFFFFF" w:sz="0"/>
              <w:bottom w:val="none" w:color="FFFFFF" w:sz="0"/>
              <w:right w:val="none" w:color="FFFFFF" w:sz="0"/>
            </w:tcBorders>
            <w:tcMar>
              <w:top w:type="dxa" w:w="120"/>
              <w:left w:type="dxa" w:w="0"/>
              <w:bottom w:type="dxa" w:w="120"/>
              <w:right w:type="dxa" w:w="80"/>
            </w:tcMar>
            <w:vAlign w:val="top"/>
          </w:tcPr>
          <w:p>
            <w:r>
              <w:rPr>
                <w:rFonts w:ascii="Arial" w:cs="Arial" w:eastAsia="Arial" w:hAnsi="Arial"/>
                <w:b/>
                <w:bCs/>
                <w:color w:val="F5A623"/>
                <w:sz w:val="28"/>
                <w:szCs w:val="28"/>
              </w:rPr>
              <w:t xml:space="preserve">07</w:t>
            </w:r>
          </w:p>
        </w:tc>
        <w:tc>
          <w:tcPr>
            <w:tcW w:type="dxa" w:w="8760"/>
            <w:tcBorders>
              <w:top w:val="none" w:color="FFFFFF" w:sz="0"/>
              <w:left w:val="none" w:color="FFFFFF" w:sz="0"/>
              <w:bottom w:val="none" w:color="FFFFFF" w:sz="0"/>
              <w:right w:val="none" w:color="FFFFFF" w:sz="0"/>
            </w:tcBorders>
            <w:tcMar>
              <w:top w:type="dxa" w:w="120"/>
              <w:left w:type="dxa" w:w="80"/>
              <w:bottom w:type="dxa" w:w="120"/>
              <w:right w:type="dxa" w:w="0"/>
            </w:tcMar>
            <w:vAlign w:val="top"/>
          </w:tcPr>
          <w:p>
            <w:pPr>
              <w:spacing w:line="300"/>
            </w:pPr>
            <w:r>
              <w:rPr>
                <w:rFonts w:ascii="Arial" w:cs="Arial" w:eastAsia="Arial" w:hAnsi="Arial"/>
                <w:color w:val="111827"/>
                <w:sz w:val="22"/>
                <w:szCs w:val="22"/>
              </w:rPr>
              <w:t xml:space="preserve">As-Sa’adah does not appear on any Prepreneurship public material — separate entities.</w:t>
            </w:r>
          </w:p>
        </w:tc>
      </w:tr>
      <w:tr>
        <w:tc>
          <w:tcPr>
            <w:tcW w:type="dxa" w:w="600"/>
            <w:tcBorders>
              <w:top w:val="none" w:color="FFFFFF" w:sz="0"/>
              <w:left w:val="none" w:color="FFFFFF" w:sz="0"/>
              <w:bottom w:val="none" w:color="FFFFFF" w:sz="0"/>
              <w:right w:val="none" w:color="FFFFFF" w:sz="0"/>
            </w:tcBorders>
            <w:tcMar>
              <w:top w:type="dxa" w:w="120"/>
              <w:left w:type="dxa" w:w="0"/>
              <w:bottom w:type="dxa" w:w="120"/>
              <w:right w:type="dxa" w:w="80"/>
            </w:tcMar>
            <w:vAlign w:val="top"/>
          </w:tcPr>
          <w:p>
            <w:r>
              <w:rPr>
                <w:rFonts w:ascii="Arial" w:cs="Arial" w:eastAsia="Arial" w:hAnsi="Arial"/>
                <w:b/>
                <w:bCs/>
                <w:color w:val="F5A623"/>
                <w:sz w:val="28"/>
                <w:szCs w:val="28"/>
              </w:rPr>
              <w:t xml:space="preserve">08</w:t>
            </w:r>
          </w:p>
        </w:tc>
        <w:tc>
          <w:tcPr>
            <w:tcW w:type="dxa" w:w="8760"/>
            <w:tcBorders>
              <w:top w:val="none" w:color="FFFFFF" w:sz="0"/>
              <w:left w:val="none" w:color="FFFFFF" w:sz="0"/>
              <w:bottom w:val="none" w:color="FFFFFF" w:sz="0"/>
              <w:right w:val="none" w:color="FFFFFF" w:sz="0"/>
            </w:tcBorders>
            <w:tcMar>
              <w:top w:type="dxa" w:w="120"/>
              <w:left w:type="dxa" w:w="80"/>
              <w:bottom w:type="dxa" w:w="120"/>
              <w:right w:type="dxa" w:w="0"/>
            </w:tcMar>
            <w:vAlign w:val="top"/>
          </w:tcPr>
          <w:p>
            <w:pPr>
              <w:spacing w:line="300"/>
            </w:pPr>
            <w:r>
              <w:rPr>
                <w:rFonts w:ascii="Arial" w:cs="Arial" w:eastAsia="Arial" w:hAnsi="Arial"/>
                <w:color w:val="111827"/>
                <w:sz w:val="22"/>
                <w:szCs w:val="22"/>
              </w:rPr>
              <w:t xml:space="preserve">No real estate language for the Tower. No "luxury", "prime", "investment opportunity".</w:t>
            </w:r>
          </w:p>
        </w:tc>
      </w:tr>
      <w:tr>
        <w:tc>
          <w:tcPr>
            <w:tcW w:type="dxa" w:w="600"/>
            <w:tcBorders>
              <w:top w:val="none" w:color="FFFFFF" w:sz="0"/>
              <w:left w:val="none" w:color="FFFFFF" w:sz="0"/>
              <w:bottom w:val="none" w:color="FFFFFF" w:sz="0"/>
              <w:right w:val="none" w:color="FFFFFF" w:sz="0"/>
            </w:tcBorders>
            <w:tcMar>
              <w:top w:type="dxa" w:w="120"/>
              <w:left w:type="dxa" w:w="0"/>
              <w:bottom w:type="dxa" w:w="120"/>
              <w:right w:type="dxa" w:w="80"/>
            </w:tcMar>
            <w:vAlign w:val="top"/>
          </w:tcPr>
          <w:p>
            <w:r>
              <w:rPr>
                <w:rFonts w:ascii="Arial" w:cs="Arial" w:eastAsia="Arial" w:hAnsi="Arial"/>
                <w:b/>
                <w:bCs/>
                <w:color w:val="F5A623"/>
                <w:sz w:val="28"/>
                <w:szCs w:val="28"/>
              </w:rPr>
              <w:t xml:space="preserve">09</w:t>
            </w:r>
          </w:p>
        </w:tc>
        <w:tc>
          <w:tcPr>
            <w:tcW w:type="dxa" w:w="8760"/>
            <w:tcBorders>
              <w:top w:val="none" w:color="FFFFFF" w:sz="0"/>
              <w:left w:val="none" w:color="FFFFFF" w:sz="0"/>
              <w:bottom w:val="none" w:color="FFFFFF" w:sz="0"/>
              <w:right w:val="none" w:color="FFFFFF" w:sz="0"/>
            </w:tcBorders>
            <w:tcMar>
              <w:top w:type="dxa" w:w="120"/>
              <w:left w:type="dxa" w:w="80"/>
              <w:bottom w:type="dxa" w:w="120"/>
              <w:right w:type="dxa" w:w="0"/>
            </w:tcMar>
            <w:vAlign w:val="top"/>
          </w:tcPr>
          <w:p>
            <w:pPr>
              <w:spacing w:line="300"/>
            </w:pPr>
            <w:r>
              <w:rPr>
                <w:rFonts w:ascii="Arial" w:cs="Arial" w:eastAsia="Arial" w:hAnsi="Arial"/>
                <w:color w:val="111827"/>
                <w:sz w:val="22"/>
                <w:szCs w:val="22"/>
              </w:rPr>
              <w:t xml:space="preserve">No comparisons with other developers (DHA, Bahria Town, etc.).</w:t>
            </w:r>
          </w:p>
        </w:tc>
      </w:tr>
      <w:tr>
        <w:tc>
          <w:tcPr>
            <w:tcW w:type="dxa" w:w="600"/>
            <w:tcBorders>
              <w:top w:val="none" w:color="FFFFFF" w:sz="0"/>
              <w:left w:val="none" w:color="FFFFFF" w:sz="0"/>
              <w:bottom w:val="none" w:color="FFFFFF" w:sz="0"/>
              <w:right w:val="none" w:color="FFFFFF" w:sz="0"/>
            </w:tcBorders>
            <w:tcMar>
              <w:top w:type="dxa" w:w="120"/>
              <w:left w:type="dxa" w:w="0"/>
              <w:bottom w:type="dxa" w:w="120"/>
              <w:right w:type="dxa" w:w="80"/>
            </w:tcMar>
            <w:vAlign w:val="top"/>
          </w:tcPr>
          <w:p>
            <w:r>
              <w:rPr>
                <w:rFonts w:ascii="Arial" w:cs="Arial" w:eastAsia="Arial" w:hAnsi="Arial"/>
                <w:b/>
                <w:bCs/>
                <w:color w:val="F5A623"/>
                <w:sz w:val="28"/>
                <w:szCs w:val="28"/>
              </w:rPr>
              <w:t xml:space="preserve">10</w:t>
            </w:r>
          </w:p>
        </w:tc>
        <w:tc>
          <w:tcPr>
            <w:tcW w:type="dxa" w:w="8760"/>
            <w:tcBorders>
              <w:top w:val="none" w:color="FFFFFF" w:sz="0"/>
              <w:left w:val="none" w:color="FFFFFF" w:sz="0"/>
              <w:bottom w:val="none" w:color="FFFFFF" w:sz="0"/>
              <w:right w:val="none" w:color="FFFFFF" w:sz="0"/>
            </w:tcBorders>
            <w:tcMar>
              <w:top w:type="dxa" w:w="120"/>
              <w:left w:type="dxa" w:w="80"/>
              <w:bottom w:type="dxa" w:w="120"/>
              <w:right w:type="dxa" w:w="0"/>
            </w:tcMar>
            <w:vAlign w:val="top"/>
          </w:tcPr>
          <w:p>
            <w:pPr>
              <w:spacing w:line="300"/>
            </w:pPr>
            <w:r>
              <w:rPr>
                <w:rFonts w:ascii="Arial" w:cs="Arial" w:eastAsia="Arial" w:hAnsi="Arial"/>
                <w:color w:val="111827"/>
                <w:sz w:val="22"/>
                <w:szCs w:val="22"/>
              </w:rPr>
              <w:t xml:space="preserve">Both the Founder &amp; Chairman (Muhammad Uzair Karghatra) and the CEO (Syed Wajahat Ali) appear in institutional materials.</w:t>
            </w:r>
          </w:p>
        </w:tc>
      </w:tr>
      <w:tr>
        <w:tc>
          <w:tcPr>
            <w:tcW w:type="dxa" w:w="600"/>
            <w:tcBorders>
              <w:top w:val="none" w:color="FFFFFF" w:sz="0"/>
              <w:left w:val="none" w:color="FFFFFF" w:sz="0"/>
              <w:bottom w:val="none" w:color="FFFFFF" w:sz="0"/>
              <w:right w:val="none" w:color="FFFFFF" w:sz="0"/>
            </w:tcBorders>
            <w:tcMar>
              <w:top w:type="dxa" w:w="120"/>
              <w:left w:type="dxa" w:w="0"/>
              <w:bottom w:type="dxa" w:w="120"/>
              <w:right w:type="dxa" w:w="80"/>
            </w:tcMar>
            <w:vAlign w:val="top"/>
          </w:tcPr>
          <w:p>
            <w:r>
              <w:rPr>
                <w:rFonts w:ascii="Arial" w:cs="Arial" w:eastAsia="Arial" w:hAnsi="Arial"/>
                <w:b/>
                <w:bCs/>
                <w:color w:val="F5A623"/>
                <w:sz w:val="28"/>
                <w:szCs w:val="28"/>
              </w:rPr>
              <w:t xml:space="preserve">11</w:t>
            </w:r>
          </w:p>
        </w:tc>
        <w:tc>
          <w:tcPr>
            <w:tcW w:type="dxa" w:w="8760"/>
            <w:tcBorders>
              <w:top w:val="none" w:color="FFFFFF" w:sz="0"/>
              <w:left w:val="none" w:color="FFFFFF" w:sz="0"/>
              <w:bottom w:val="none" w:color="FFFFFF" w:sz="0"/>
              <w:right w:val="none" w:color="FFFFFF" w:sz="0"/>
            </w:tcBorders>
            <w:tcMar>
              <w:top w:type="dxa" w:w="120"/>
              <w:left w:type="dxa" w:w="80"/>
              <w:bottom w:type="dxa" w:w="120"/>
              <w:right w:type="dxa" w:w="0"/>
            </w:tcMar>
            <w:vAlign w:val="top"/>
          </w:tcPr>
          <w:p>
            <w:pPr>
              <w:spacing w:line="300"/>
            </w:pPr>
            <w:r>
              <w:rPr>
                <w:rFonts w:ascii="Arial" w:cs="Arial" w:eastAsia="Arial" w:hAnsi="Arial"/>
                <w:color w:val="111827"/>
                <w:sz w:val="22"/>
                <w:szCs w:val="22"/>
              </w:rPr>
              <w:t xml:space="preserve">Web nav background is solid white. No transparent state. No scroll-toggle.</w:t>
            </w:r>
          </w:p>
        </w:tc>
      </w:tr>
      <w:tr>
        <w:tc>
          <w:tcPr>
            <w:tcW w:type="dxa" w:w="600"/>
            <w:tcBorders>
              <w:top w:val="none" w:color="FFFFFF" w:sz="0"/>
              <w:left w:val="none" w:color="FFFFFF" w:sz="0"/>
              <w:bottom w:val="none" w:color="FFFFFF" w:sz="0"/>
              <w:right w:val="none" w:color="FFFFFF" w:sz="0"/>
            </w:tcBorders>
            <w:tcMar>
              <w:top w:type="dxa" w:w="120"/>
              <w:left w:type="dxa" w:w="0"/>
              <w:bottom w:type="dxa" w:w="120"/>
              <w:right w:type="dxa" w:w="80"/>
            </w:tcMar>
            <w:vAlign w:val="top"/>
          </w:tcPr>
          <w:p>
            <w:r>
              <w:rPr>
                <w:rFonts w:ascii="Arial" w:cs="Arial" w:eastAsia="Arial" w:hAnsi="Arial"/>
                <w:b/>
                <w:bCs/>
                <w:color w:val="F5A623"/>
                <w:sz w:val="28"/>
                <w:szCs w:val="28"/>
              </w:rPr>
              <w:t xml:space="preserve">12</w:t>
            </w:r>
          </w:p>
        </w:tc>
        <w:tc>
          <w:tcPr>
            <w:tcW w:type="dxa" w:w="8760"/>
            <w:tcBorders>
              <w:top w:val="none" w:color="FFFFFF" w:sz="0"/>
              <w:left w:val="none" w:color="FFFFFF" w:sz="0"/>
              <w:bottom w:val="none" w:color="FFFFFF" w:sz="0"/>
              <w:right w:val="none" w:color="FFFFFF" w:sz="0"/>
            </w:tcBorders>
            <w:tcMar>
              <w:top w:type="dxa" w:w="120"/>
              <w:left w:type="dxa" w:w="80"/>
              <w:bottom w:type="dxa" w:w="120"/>
              <w:right w:type="dxa" w:w="0"/>
            </w:tcMar>
            <w:vAlign w:val="top"/>
          </w:tcPr>
          <w:p>
            <w:pPr>
              <w:spacing w:line="300"/>
            </w:pPr>
            <w:r>
              <w:rPr>
                <w:rFonts w:ascii="Arial" w:cs="Arial" w:eastAsia="Arial" w:hAnsi="Arial"/>
                <w:color w:val="111827"/>
                <w:sz w:val="22"/>
                <w:szCs w:val="22"/>
              </w:rPr>
              <w:t xml:space="preserve">Every controlled document follows the locked naming convention: PREFIX-DOMAIN-NN_Title.</w:t>
            </w:r>
          </w:p>
        </w:tc>
      </w:tr>
      <w:tr>
        <w:tc>
          <w:tcPr>
            <w:tcW w:type="dxa" w:w="600"/>
            <w:tcBorders>
              <w:top w:val="none" w:color="FFFFFF" w:sz="0"/>
              <w:left w:val="none" w:color="FFFFFF" w:sz="0"/>
              <w:bottom w:val="none" w:color="FFFFFF" w:sz="0"/>
              <w:right w:val="none" w:color="FFFFFF" w:sz="0"/>
            </w:tcBorders>
            <w:tcMar>
              <w:top w:type="dxa" w:w="120"/>
              <w:left w:type="dxa" w:w="0"/>
              <w:bottom w:type="dxa" w:w="120"/>
              <w:right w:type="dxa" w:w="80"/>
            </w:tcMar>
            <w:vAlign w:val="top"/>
          </w:tcPr>
          <w:p>
            <w:r>
              <w:rPr>
                <w:rFonts w:ascii="Arial" w:cs="Arial" w:eastAsia="Arial" w:hAnsi="Arial"/>
                <w:b/>
                <w:bCs/>
                <w:color w:val="F5A623"/>
                <w:sz w:val="28"/>
                <w:szCs w:val="28"/>
              </w:rPr>
              <w:t xml:space="preserve">13</w:t>
            </w:r>
          </w:p>
        </w:tc>
        <w:tc>
          <w:tcPr>
            <w:tcW w:type="dxa" w:w="8760"/>
            <w:tcBorders>
              <w:top w:val="none" w:color="FFFFFF" w:sz="0"/>
              <w:left w:val="none" w:color="FFFFFF" w:sz="0"/>
              <w:bottom w:val="none" w:color="FFFFFF" w:sz="0"/>
              <w:right w:val="none" w:color="FFFFFF" w:sz="0"/>
            </w:tcBorders>
            <w:tcMar>
              <w:top w:type="dxa" w:w="120"/>
              <w:left w:type="dxa" w:w="80"/>
              <w:bottom w:type="dxa" w:w="120"/>
              <w:right w:type="dxa" w:w="0"/>
            </w:tcMar>
            <w:vAlign w:val="top"/>
          </w:tcPr>
          <w:p>
            <w:pPr>
              <w:spacing w:line="300"/>
            </w:pPr>
            <w:r>
              <w:rPr>
                <w:rFonts w:ascii="Arial" w:cs="Arial" w:eastAsia="Arial" w:hAnsi="Arial"/>
                <w:color w:val="111827"/>
                <w:sz w:val="22"/>
                <w:szCs w:val="22"/>
              </w:rPr>
              <w:t xml:space="preserve">Photography of Pakistanis only — never Western stock. Never charity-framing.</w:t>
            </w:r>
          </w:p>
        </w:tc>
      </w:tr>
      <w:tr>
        <w:tc>
          <w:tcPr>
            <w:tcW w:type="dxa" w:w="600"/>
            <w:tcBorders>
              <w:top w:val="none" w:color="FFFFFF" w:sz="0"/>
              <w:left w:val="none" w:color="FFFFFF" w:sz="0"/>
              <w:bottom w:val="none" w:color="FFFFFF" w:sz="0"/>
              <w:right w:val="none" w:color="FFFFFF" w:sz="0"/>
            </w:tcBorders>
            <w:tcMar>
              <w:top w:type="dxa" w:w="120"/>
              <w:left w:type="dxa" w:w="0"/>
              <w:bottom w:type="dxa" w:w="120"/>
              <w:right w:type="dxa" w:w="80"/>
            </w:tcMar>
            <w:vAlign w:val="top"/>
          </w:tcPr>
          <w:p>
            <w:r>
              <w:rPr>
                <w:rFonts w:ascii="Arial" w:cs="Arial" w:eastAsia="Arial" w:hAnsi="Arial"/>
                <w:b/>
                <w:bCs/>
                <w:color w:val="F5A623"/>
                <w:sz w:val="28"/>
                <w:szCs w:val="28"/>
              </w:rPr>
              <w:t xml:space="preserve">14</w:t>
            </w:r>
          </w:p>
        </w:tc>
        <w:tc>
          <w:tcPr>
            <w:tcW w:type="dxa" w:w="8760"/>
            <w:tcBorders>
              <w:top w:val="none" w:color="FFFFFF" w:sz="0"/>
              <w:left w:val="none" w:color="FFFFFF" w:sz="0"/>
              <w:bottom w:val="none" w:color="FFFFFF" w:sz="0"/>
              <w:right w:val="none" w:color="FFFFFF" w:sz="0"/>
            </w:tcBorders>
            <w:tcMar>
              <w:top w:type="dxa" w:w="120"/>
              <w:left w:type="dxa" w:w="80"/>
              <w:bottom w:type="dxa" w:w="120"/>
              <w:right w:type="dxa" w:w="0"/>
            </w:tcMar>
            <w:vAlign w:val="top"/>
          </w:tcPr>
          <w:p>
            <w:pPr>
              <w:spacing w:line="300"/>
            </w:pPr>
            <w:r>
              <w:rPr>
                <w:rFonts w:ascii="Arial" w:cs="Arial" w:eastAsia="Arial" w:hAnsi="Arial"/>
                <w:color w:val="111827"/>
                <w:sz w:val="22"/>
                <w:szCs w:val="22"/>
              </w:rPr>
              <w:t xml:space="preserve">The tone is conviction, not excitement. Excitement is for property salespeople.</w:t>
            </w:r>
          </w:p>
        </w:tc>
      </w:tr>
      <w:tr>
        <w:tc>
          <w:tcPr>
            <w:tcW w:type="dxa" w:w="600"/>
            <w:tcBorders>
              <w:top w:val="none" w:color="FFFFFF" w:sz="0"/>
              <w:left w:val="none" w:color="FFFFFF" w:sz="0"/>
              <w:bottom w:val="none" w:color="FFFFFF" w:sz="0"/>
              <w:right w:val="none" w:color="FFFFFF" w:sz="0"/>
            </w:tcBorders>
            <w:tcMar>
              <w:top w:type="dxa" w:w="120"/>
              <w:left w:type="dxa" w:w="0"/>
              <w:bottom w:type="dxa" w:w="120"/>
              <w:right w:type="dxa" w:w="80"/>
            </w:tcMar>
            <w:vAlign w:val="top"/>
          </w:tcPr>
          <w:p>
            <w:r>
              <w:rPr>
                <w:rFonts w:ascii="Arial" w:cs="Arial" w:eastAsia="Arial" w:hAnsi="Arial"/>
                <w:b/>
                <w:bCs/>
                <w:color w:val="F5A623"/>
                <w:sz w:val="28"/>
                <w:szCs w:val="28"/>
              </w:rPr>
              <w:t xml:space="preserve">15</w:t>
            </w:r>
          </w:p>
        </w:tc>
        <w:tc>
          <w:tcPr>
            <w:tcW w:type="dxa" w:w="8760"/>
            <w:tcBorders>
              <w:top w:val="none" w:color="FFFFFF" w:sz="0"/>
              <w:left w:val="none" w:color="FFFFFF" w:sz="0"/>
              <w:bottom w:val="none" w:color="FFFFFF" w:sz="0"/>
              <w:right w:val="none" w:color="FFFFFF" w:sz="0"/>
            </w:tcBorders>
            <w:tcMar>
              <w:top w:type="dxa" w:w="120"/>
              <w:left w:type="dxa" w:w="80"/>
              <w:bottom w:type="dxa" w:w="120"/>
              <w:right w:type="dxa" w:w="0"/>
            </w:tcMar>
            <w:vAlign w:val="top"/>
          </w:tcPr>
          <w:p>
            <w:pPr>
              <w:spacing w:line="300"/>
            </w:pPr>
            <w:r>
              <w:rPr>
                <w:rFonts w:ascii="Arial" w:cs="Arial" w:eastAsia="Arial" w:hAnsi="Arial"/>
                <w:color w:val="111827"/>
                <w:sz w:val="22"/>
                <w:szCs w:val="22"/>
              </w:rPr>
              <w:t xml:space="preserve">Any deviation from this document requires written CEO approval.</w:t>
            </w:r>
          </w:p>
        </w:tc>
      </w:tr>
    </w:tbl>
    <w:p>
      <w:pPr>
        <w:spacing w:after="0" w:before="400"/>
      </w:pPr>
      <w:r>
        <w:rPr>
          <w:sz w:val="16"/>
          <w:szCs w:val="16"/>
        </w:rPr>
        <w:t xml:space="preserve"/>
      </w:r>
    </w:p>
    <w:p>
      <w:pPr>
        <w:pBdr>
          <w:bottom w:val="single" w:color="F5A623" w:sz="12" w:space="1"/>
        </w:pBdr>
        <w:spacing w:after="200" w:before="200"/>
      </w:pPr>
      <w:r>
        <w:rPr>
          <w:sz w:val="4"/>
          <w:szCs w:val="4"/>
        </w:rPr>
        <w:t xml:space="preserve"/>
      </w:r>
    </w:p>
    <w:p>
      <w:pPr>
        <w:spacing w:after="120" w:before="0" w:line="280"/>
        <w:jc w:val="center"/>
      </w:pPr>
      <w:r>
        <w:rPr>
          <w:rFonts w:ascii="Arial" w:cs="Arial" w:eastAsia="Arial" w:hAnsi="Arial"/>
          <w:b/>
          <w:bCs/>
          <w:caps/>
          <w:color w:val="F5A623"/>
          <w:sz w:val="22"/>
          <w:szCs w:val="22"/>
        </w:rPr>
        <w:t xml:space="preserve">END OF DOCUMENT</w:t>
      </w:r>
    </w:p>
    <w:p>
      <w:pPr>
        <w:spacing w:after="60" w:before="0" w:line="280"/>
        <w:jc w:val="center"/>
      </w:pPr>
      <w:r>
        <w:rPr>
          <w:rFonts w:ascii="Arial" w:cs="Arial" w:eastAsia="Arial" w:hAnsi="Arial"/>
          <w:color w:val="6B7280"/>
          <w:sz w:val="19"/>
          <w:szCs w:val="19"/>
        </w:rPr>
        <w:t xml:space="preserve">Prepreneurship Brand Guidelines V2.0  ·  April 2026</w:t>
      </w:r>
    </w:p>
    <w:p>
      <w:pPr>
        <w:spacing w:after="80" w:before="0" w:line="280"/>
        <w:jc w:val="center"/>
      </w:pPr>
      <w:r>
        <w:rPr>
          <w:rFonts w:ascii="Arial" w:cs="Arial" w:eastAsia="Arial" w:hAnsi="Arial"/>
          <w:color w:val="6B7280"/>
          <w:sz w:val="19"/>
          <w:szCs w:val="19"/>
        </w:rPr>
        <w:t xml:space="preserve">Office of the CEO  ·  Pre-preneurship (Pvt.) Ltd.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6" w:space="6"/>
      </w:pBdr>
      <w:tabs>
        <w:tab w:val="center" w:pos="4680"/>
        <w:tab w:val="right" w:pos="9360"/>
      </w:tabs>
    </w:pPr>
    <w:r>
      <w:rPr>
        <w:rFonts w:ascii="Arial" w:cs="Arial" w:eastAsia="Arial" w:hAnsi="Arial"/>
        <w:color w:val="6B7280"/>
        <w:sz w:val="16"/>
        <w:szCs w:val="16"/>
      </w:rPr>
      <w:t xml:space="preserve">Confidential</w:t>
    </w:r>
    <w:r>
      <w:rPr>
        <w:sz w:val="16"/>
        <w:szCs w:val="16"/>
      </w:rPr>
      <w:t xml:space="preserve">	</w:t>
    </w:r>
    <w:r>
      <w:rPr>
        <w:rFonts w:ascii="Arial" w:cs="Arial" w:eastAsia="Arial" w:hAnsi="Arial"/>
        <w:color w:val="6B7280"/>
        <w:sz w:val="16"/>
        <w:szCs w:val="16"/>
      </w:rPr>
      <w:t xml:space="preserve">April 2026</w:t>
    </w:r>
    <w:r>
      <w:rPr>
        <w:sz w:val="16"/>
        <w:szCs w:val="16"/>
      </w:rPr>
      <w:t xml:space="preserve">	</w:t>
    </w:r>
    <w:r>
      <w:rPr>
        <w:rFonts w:ascii="Arial" w:cs="Arial" w:eastAsia="Arial" w:hAnsi="Arial"/>
        <w:color w:val="6B7280"/>
        <w:sz w:val="16"/>
        <w:szCs w:val="16"/>
      </w:rPr>
      <w:t xml:space="preserve">Page </w:t>
    </w:r>
    <w:r>
      <w:rPr>
        <w:rFonts w:ascii="Arial" w:cs="Arial" w:eastAsia="Arial" w:hAnsi="Arial"/>
        <w:color w:val="6B7280"/>
        <w:sz w:val="16"/>
        <w:szCs w:val="16"/>
      </w:rPr>
      <w:fldChar w:fldCharType="begin"/>
      <w:instrText xml:space="preserve">PAGE</w:instrText>
      <w:fldChar w:fldCharType="separate"/>
      <w:fldChar w:fldCharType="end"/>
    </w:r>
    <w:r>
      <w:rPr>
        <w:rFonts w:ascii="Arial" w:cs="Arial" w:eastAsia="Arial" w:hAnsi="Arial"/>
        <w:color w:val="6B7280"/>
        <w:sz w:val="16"/>
        <w:szCs w:val="16"/>
      </w:rPr>
      <w:t xml:space="preserve"> of </w:t>
    </w:r>
    <w:r>
      <w:rPr>
        <w:rFonts w:ascii="Arial" w:cs="Arial" w:eastAsia="Arial" w:hAnsi="Arial"/>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Arial" w:cs="Arial" w:eastAsia="Arial" w:hAnsi="Arial"/>
        <w:b/>
        <w:bCs/>
        <w:color w:val="F5A623"/>
        <w:spacing w:val="60"/>
        <w:sz w:val="16"/>
        <w:szCs w:val="16"/>
      </w:rPr>
      <w:t xml:space="preserve">PREPRENEURSHIP</w:t>
    </w:r>
    <w:r>
      <w:rPr>
        <w:rFonts w:ascii="Arial" w:cs="Arial" w:eastAsia="Arial" w:hAnsi="Arial"/>
        <w:color w:val="6B7280"/>
        <w:sz w:val="16"/>
        <w:szCs w:val="16"/>
      </w:rPr>
      <w:t xml:space="preserve">  ·  BRAND GUIDELINES V2.0</w:t>
    </w:r>
    <w:r>
      <w:rPr>
        <w:sz w:val="16"/>
        <w:szCs w:val="16"/>
      </w:rPr>
      <w:t xml:space="preserve">	</w:t>
    </w:r>
    <w:r>
      <w:rPr>
        <w:rFonts w:ascii="Arial" w:cs="Arial" w:eastAsia="Arial" w:hAnsi="Arial"/>
        <w:i/>
        <w:iCs/>
        <w:color w:val="1A3C5E"/>
        <w:sz w:val="16"/>
        <w:szCs w:val="16"/>
      </w:rPr>
      <w:t xml:space="preserve">Dream. Learn. Earn.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80"/>
      </w:pPr>
      <w:rPr>
        <w:color w:val="F5A623"/>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1A3C5E"/>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1A3C5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Brand Guidelines V2.0</dc:title>
  <dc:creator>Pre-preneurship (Pvt.) Ltd.</dc:creator>
  <dc:description>Single source of truth for all brand decisions across print, slide, web, and digital channels.</dc:description>
  <cp:lastModifiedBy>Un-named</cp:lastModifiedBy>
  <cp:revision>1</cp:revision>
  <dcterms:created xsi:type="dcterms:W3CDTF">2026-04-28T08:46:58.989Z</dcterms:created>
  <dcterms:modified xsi:type="dcterms:W3CDTF">2026-04-28T08:46:58.990Z</dcterms:modified>
</cp:coreProperties>
</file>

<file path=docProps/custom.xml><?xml version="1.0" encoding="utf-8"?>
<Properties xmlns="http://schemas.openxmlformats.org/officeDocument/2006/custom-properties" xmlns:vt="http://schemas.openxmlformats.org/officeDocument/2006/docPropsVTypes"/>
</file>