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"/>
        <w:rPr>
          <w:rFonts w:ascii="Times New Roman"/>
          <w:sz w:val="52"/>
        </w:rPr>
      </w:pPr>
    </w:p>
    <w:p>
      <w:pPr>
        <w:pStyle w:val="Title"/>
      </w:pPr>
      <w:r>
        <w:rPr>
          <w:color w:val="1A1A2D"/>
        </w:rPr>
        <w:t>Health &amp; </w:t>
      </w:r>
      <w:r>
        <w:rPr>
          <w:color w:val="1A1A2D"/>
          <w:spacing w:val="-2"/>
        </w:rPr>
        <w:t>Wellness</w:t>
      </w:r>
    </w:p>
    <w:p>
      <w:pPr>
        <w:spacing w:before="145"/>
        <w:ind w:left="120" w:right="120" w:firstLine="0"/>
        <w:jc w:val="center"/>
        <w:rPr>
          <w:sz w:val="24"/>
        </w:rPr>
      </w:pPr>
      <w:r>
        <w:rPr>
          <w:color w:val="545477"/>
          <w:sz w:val="24"/>
        </w:rPr>
        <w:t>News Digest — Q1 </w:t>
      </w:r>
      <w:r>
        <w:rPr>
          <w:color w:val="545477"/>
          <w:spacing w:val="-4"/>
          <w:sz w:val="24"/>
        </w:rPr>
        <w:t>2026</w:t>
      </w:r>
    </w:p>
    <w:p>
      <w:pPr>
        <w:pStyle w:val="BodyText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272494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3F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1.456249pt;width:456pt;height:.1pt;mso-position-horizontal-relative:page;mso-position-vertical-relative:paragraph;z-index:-15728640;mso-wrap-distance-left:0;mso-wrap-distance-right:0" id="docshape1" coordorigin="1560,429" coordsize="9120,0" path="m1560,429l10680,429e" filled="false" stroked="true" strokeweight="2pt" strokecolor="#2d3f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228"/>
        <w:ind w:left="120"/>
      </w:pPr>
      <w:r>
        <w:rPr>
          <w:color w:val="333333"/>
        </w:rPr>
        <w:t>A curated collection of the latest research and insights across nutrition, pharmacology, mental </w:t>
      </w:r>
      <w:r>
        <w:rPr>
          <w:color w:val="333333"/>
        </w:rPr>
        <w:t>health, and preventive medicine. Sources include NPR, WebMD, Healthline, Mayo Clinic, and BBC Health.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168967</wp:posOffset>
                </wp:positionV>
                <wp:extent cx="5943600" cy="3556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2D3F56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FEATURED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3.304492pt;width:468pt;height:28pt;mso-position-horizontal-relative:page;mso-position-vertical-relative:paragraph;z-index:-15728128;mso-wrap-distance-left:0;mso-wrap-distance-right:0" type="#_x0000_t202" id="docshape2" filled="true" fillcolor="#2d3f56" stroked="false">
                <v:textbox inset="0,0,0,0">
                  <w:txbxContent>
                    <w:p>
                      <w:pPr>
                        <w:spacing w:before="171"/>
                        <w:ind w:left="12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FEATURED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ARTICLE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7"/>
        <w:rPr>
          <w:sz w:val="16"/>
        </w:rPr>
      </w:pPr>
    </w:p>
    <w:p>
      <w:pPr>
        <w:spacing w:before="0"/>
        <w:ind w:left="120" w:right="12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-2749438</wp:posOffset>
            </wp:positionV>
            <wp:extent cx="5943600" cy="27432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777777"/>
          <w:sz w:val="16"/>
        </w:rPr>
        <w:t>Image: GLP-1s have transformed weight loss and diabetes. Is addiction next? — </w:t>
      </w:r>
      <w:r>
        <w:rPr>
          <w:rFonts w:ascii="Arial" w:hAnsi="Arial"/>
          <w:i/>
          <w:color w:val="777777"/>
          <w:spacing w:val="-5"/>
          <w:sz w:val="16"/>
        </w:rPr>
        <w:t>NPR</w:t>
      </w:r>
    </w:p>
    <w:p>
      <w:pPr>
        <w:pStyle w:val="BodyText"/>
        <w:spacing w:before="182"/>
        <w:rPr>
          <w:rFonts w:ascii="Arial"/>
          <w:i/>
          <w:sz w:val="16"/>
        </w:rPr>
      </w:pPr>
    </w:p>
    <w:p>
      <w:pPr>
        <w:spacing w:line="261" w:lineRule="auto" w:before="0"/>
        <w:ind w:left="120" w:right="1022" w:firstLine="0"/>
        <w:jc w:val="both"/>
        <w:rPr>
          <w:rFonts w:ascii="Arial"/>
          <w:b/>
          <w:sz w:val="32"/>
        </w:rPr>
      </w:pPr>
      <w:r>
        <w:rPr>
          <w:rFonts w:ascii="Arial"/>
          <w:b/>
          <w:color w:val="1A1A2D"/>
          <w:sz w:val="32"/>
        </w:rPr>
        <w:t>GLP-1s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have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transformed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weight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loss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and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diabetes.</w:t>
      </w:r>
      <w:r>
        <w:rPr>
          <w:rFonts w:ascii="Arial"/>
          <w:b/>
          <w:color w:val="1A1A2D"/>
          <w:spacing w:val="-6"/>
          <w:sz w:val="32"/>
        </w:rPr>
        <w:t> </w:t>
      </w:r>
      <w:r>
        <w:rPr>
          <w:rFonts w:ascii="Arial"/>
          <w:b/>
          <w:color w:val="1A1A2D"/>
          <w:sz w:val="32"/>
        </w:rPr>
        <w:t>Is addiction next?</w:t>
      </w:r>
    </w:p>
    <w:p>
      <w:pPr>
        <w:spacing w:before="109"/>
        <w:ind w:left="120" w:right="0" w:firstLine="0"/>
        <w:jc w:val="both"/>
        <w:rPr>
          <w:sz w:val="18"/>
        </w:rPr>
      </w:pPr>
      <w:r>
        <w:rPr>
          <w:rFonts w:ascii="Arial"/>
          <w:b/>
          <w:color w:val="878787"/>
          <w:sz w:val="18"/>
        </w:rPr>
        <w:t>Source: </w:t>
      </w:r>
      <w:r>
        <w:rPr>
          <w:color w:val="878787"/>
          <w:sz w:val="18"/>
        </w:rPr>
        <w:t>NPR</w:t>
      </w:r>
      <w:r>
        <w:rPr>
          <w:color w:val="878787"/>
          <w:spacing w:val="50"/>
          <w:sz w:val="18"/>
        </w:rPr>
        <w:t> </w:t>
      </w:r>
      <w:r>
        <w:rPr>
          <w:color w:val="878787"/>
          <w:sz w:val="18"/>
        </w:rPr>
        <w:t>|</w:t>
      </w:r>
      <w:r>
        <w:rPr>
          <w:color w:val="878787"/>
          <w:spacing w:val="50"/>
          <w:sz w:val="18"/>
        </w:rPr>
        <w:t> </w:t>
      </w:r>
      <w:r>
        <w:rPr>
          <w:rFonts w:ascii="Arial"/>
          <w:b/>
          <w:color w:val="878787"/>
          <w:sz w:val="18"/>
        </w:rPr>
        <w:t>Author: </w:t>
      </w:r>
      <w:r>
        <w:rPr>
          <w:color w:val="878787"/>
          <w:sz w:val="18"/>
        </w:rPr>
        <w:t>Jon Hamilton</w:t>
      </w:r>
      <w:r>
        <w:rPr>
          <w:color w:val="878787"/>
          <w:spacing w:val="50"/>
          <w:sz w:val="18"/>
        </w:rPr>
        <w:t> </w:t>
      </w:r>
      <w:r>
        <w:rPr>
          <w:color w:val="878787"/>
          <w:sz w:val="18"/>
        </w:rPr>
        <w:t>|</w:t>
      </w:r>
      <w:r>
        <w:rPr>
          <w:color w:val="878787"/>
          <w:spacing w:val="50"/>
          <w:sz w:val="18"/>
        </w:rPr>
        <w:t> </w:t>
      </w:r>
      <w:r>
        <w:rPr>
          <w:rFonts w:ascii="Arial"/>
          <w:b/>
          <w:color w:val="878787"/>
          <w:sz w:val="18"/>
        </w:rPr>
        <w:t>Published: </w:t>
      </w:r>
      <w:r>
        <w:rPr>
          <w:color w:val="878787"/>
          <w:sz w:val="18"/>
        </w:rPr>
        <w:t>2026-03-</w:t>
      </w:r>
      <w:r>
        <w:rPr>
          <w:color w:val="878787"/>
          <w:spacing w:val="-5"/>
          <w:sz w:val="18"/>
        </w:rPr>
        <w:t>10</w:t>
      </w:r>
    </w:p>
    <w:p>
      <w:pPr>
        <w:pStyle w:val="BodyText"/>
        <w:spacing w:line="312" w:lineRule="auto" w:before="134"/>
        <w:ind w:left="120" w:right="117"/>
        <w:jc w:val="both"/>
      </w:pPr>
      <w:r>
        <w:rPr>
          <w:color w:val="333333"/>
        </w:rPr>
        <w:t>A large study found that people taking GLP-1 drugs like Ozempic for diabetes were less likely to be diagnosed with substance use disorder.</w:t>
      </w:r>
    </w:p>
    <w:p>
      <w:pPr>
        <w:pStyle w:val="BodyText"/>
        <w:spacing w:line="312" w:lineRule="auto" w:before="162"/>
        <w:ind w:left="120" w:right="116"/>
        <w:jc w:val="both"/>
      </w:pPr>
      <w:r>
        <w:rPr>
          <w:color w:val="333333"/>
        </w:rPr>
        <w:t>A large-scale study involving over 600,000 veterans demonstrated that individuals prescribed GLP-1 receptor agonists for diabetes management showed approximately 15% lower rates of substance </w:t>
      </w:r>
      <w:r>
        <w:rPr>
          <w:color w:val="333333"/>
        </w:rPr>
        <w:t>use disorder</w:t>
      </w:r>
      <w:r>
        <w:rPr>
          <w:color w:val="333333"/>
          <w:spacing w:val="51"/>
        </w:rPr>
        <w:t> </w:t>
      </w:r>
      <w:r>
        <w:rPr>
          <w:color w:val="333333"/>
        </w:rPr>
        <w:t>diagnoses.</w:t>
      </w:r>
      <w:r>
        <w:rPr>
          <w:color w:val="333333"/>
          <w:spacing w:val="51"/>
        </w:rPr>
        <w:t> </w:t>
      </w:r>
      <w:r>
        <w:rPr>
          <w:color w:val="333333"/>
        </w:rPr>
        <w:t>Researchers</w:t>
      </w:r>
      <w:r>
        <w:rPr>
          <w:color w:val="333333"/>
          <w:spacing w:val="51"/>
        </w:rPr>
        <w:t> </w:t>
      </w:r>
      <w:r>
        <w:rPr>
          <w:color w:val="333333"/>
        </w:rPr>
        <w:t>believe</w:t>
      </w:r>
      <w:r>
        <w:rPr>
          <w:color w:val="333333"/>
          <w:spacing w:val="51"/>
        </w:rPr>
        <w:t> </w:t>
      </w:r>
      <w:r>
        <w:rPr>
          <w:color w:val="333333"/>
        </w:rPr>
        <w:t>the</w:t>
      </w:r>
      <w:r>
        <w:rPr>
          <w:color w:val="333333"/>
          <w:spacing w:val="51"/>
        </w:rPr>
        <w:t> </w:t>
      </w:r>
      <w:r>
        <w:rPr>
          <w:color w:val="333333"/>
        </w:rPr>
        <w:t>drugs</w:t>
      </w:r>
      <w:r>
        <w:rPr>
          <w:color w:val="333333"/>
          <w:spacing w:val="51"/>
        </w:rPr>
        <w:t> </w:t>
      </w:r>
      <w:r>
        <w:rPr>
          <w:color w:val="333333"/>
        </w:rPr>
        <w:t>may</w:t>
      </w:r>
      <w:r>
        <w:rPr>
          <w:color w:val="333333"/>
          <w:spacing w:val="51"/>
        </w:rPr>
        <w:t> </w:t>
      </w:r>
      <w:r>
        <w:rPr>
          <w:color w:val="333333"/>
        </w:rPr>
        <w:t>modulate</w:t>
      </w:r>
      <w:r>
        <w:rPr>
          <w:color w:val="333333"/>
          <w:spacing w:val="51"/>
        </w:rPr>
        <w:t> </w:t>
      </w:r>
      <w:r>
        <w:rPr>
          <w:color w:val="333333"/>
        </w:rPr>
        <w:t>reward</w:t>
      </w:r>
      <w:r>
        <w:rPr>
          <w:color w:val="333333"/>
          <w:spacing w:val="51"/>
        </w:rPr>
        <w:t> </w:t>
      </w:r>
      <w:r>
        <w:rPr>
          <w:color w:val="333333"/>
        </w:rPr>
        <w:t>pathways</w:t>
      </w:r>
      <w:r>
        <w:rPr>
          <w:color w:val="333333"/>
          <w:spacing w:val="51"/>
        </w:rPr>
        <w:t> </w:t>
      </w:r>
      <w:r>
        <w:rPr>
          <w:color w:val="333333"/>
        </w:rPr>
        <w:t>in</w:t>
      </w:r>
      <w:r>
        <w:rPr>
          <w:color w:val="333333"/>
          <w:spacing w:val="51"/>
        </w:rPr>
        <w:t> </w:t>
      </w:r>
      <w:r>
        <w:rPr>
          <w:color w:val="333333"/>
        </w:rPr>
        <w:t>the</w:t>
      </w:r>
      <w:r>
        <w:rPr>
          <w:color w:val="333333"/>
          <w:spacing w:val="51"/>
        </w:rPr>
        <w:t> </w:t>
      </w:r>
      <w:r>
        <w:rPr>
          <w:color w:val="333333"/>
          <w:spacing w:val="-2"/>
        </w:rPr>
        <w:t>brain,</w:t>
      </w:r>
    </w:p>
    <w:p>
      <w:pPr>
        <w:pStyle w:val="BodyText"/>
        <w:spacing w:after="0" w:line="312" w:lineRule="auto"/>
        <w:jc w:val="both"/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spacing w:line="312" w:lineRule="auto" w:before="72"/>
        <w:ind w:left="120"/>
      </w:pPr>
      <w:r>
        <w:rPr>
          <w:color w:val="333333"/>
        </w:rPr>
        <w:t>reducing compulsive behaviours associated with addiction. This finding opens a new frontier for GLP-1 treatments beyond their established roles in weight management and glycaemic control.</w:t>
      </w:r>
    </w:p>
    <w:p>
      <w:pPr>
        <w:pStyle w:val="BodyText"/>
        <w:spacing w:after="0" w:line="312" w:lineRule="auto"/>
        <w:sectPr>
          <w:pgSz w:w="12240" w:h="15840"/>
          <w:pgMar w:top="1500" w:bottom="280" w:left="1440" w:right="1440"/>
        </w:sectPr>
      </w:pPr>
    </w:p>
    <w:p>
      <w:pPr>
        <w:pStyle w:val="BodyText"/>
        <w:ind w:right="-58"/>
      </w:pPr>
      <w:r>
        <w:rPr/>
        <mc:AlternateContent>
          <mc:Choice Requires="wps">
            <w:drawing>
              <wp:inline distT="0" distB="0" distL="0" distR="0">
                <wp:extent cx="5943600" cy="35560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1A6B49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ARTICLE SUMMARY TABLE — WITH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BORDERS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8pt;mso-position-horizontal-relative:char;mso-position-vertical-relative:line" type="#_x0000_t202" id="docshape3" filled="true" fillcolor="#1a6b49" stroked="false">
                <w10:anchorlock/>
                <v:textbox inset="0,0,0,0">
                  <w:txbxContent>
                    <w:p>
                      <w:pPr>
                        <w:spacing w:before="171"/>
                        <w:ind w:left="120" w:right="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ARTICLE SUMMARY TABLE — WITH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8"/>
                        </w:rPr>
                        <w:t>BORDERS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line="312" w:lineRule="auto" w:before="203"/>
        <w:ind w:left="120"/>
      </w:pPr>
      <w:r>
        <w:rPr>
          <w:color w:val="333333"/>
        </w:rPr>
        <w:t>The</w:t>
      </w:r>
      <w:r>
        <w:rPr>
          <w:color w:val="333333"/>
          <w:spacing w:val="26"/>
        </w:rPr>
        <w:t> </w:t>
      </w:r>
      <w:r>
        <w:rPr>
          <w:color w:val="333333"/>
        </w:rPr>
        <w:t>table</w:t>
      </w:r>
      <w:r>
        <w:rPr>
          <w:color w:val="333333"/>
          <w:spacing w:val="26"/>
        </w:rPr>
        <w:t> </w:t>
      </w:r>
      <w:r>
        <w:rPr>
          <w:color w:val="333333"/>
        </w:rPr>
        <w:t>below</w:t>
      </w:r>
      <w:r>
        <w:rPr>
          <w:color w:val="333333"/>
          <w:spacing w:val="26"/>
        </w:rPr>
        <w:t> </w:t>
      </w:r>
      <w:r>
        <w:rPr>
          <w:color w:val="333333"/>
        </w:rPr>
        <w:t>summarises</w:t>
      </w:r>
      <w:r>
        <w:rPr>
          <w:color w:val="333333"/>
          <w:spacing w:val="26"/>
        </w:rPr>
        <w:t> </w:t>
      </w:r>
      <w:r>
        <w:rPr>
          <w:color w:val="333333"/>
        </w:rPr>
        <w:t>all</w:t>
      </w:r>
      <w:r>
        <w:rPr>
          <w:color w:val="333333"/>
          <w:spacing w:val="26"/>
        </w:rPr>
        <w:t> </w:t>
      </w:r>
      <w:r>
        <w:rPr>
          <w:color w:val="333333"/>
        </w:rPr>
        <w:t>five</w:t>
      </w:r>
      <w:r>
        <w:rPr>
          <w:color w:val="333333"/>
          <w:spacing w:val="26"/>
        </w:rPr>
        <w:t> </w:t>
      </w:r>
      <w:r>
        <w:rPr>
          <w:color w:val="333333"/>
        </w:rPr>
        <w:t>articles</w:t>
      </w:r>
      <w:r>
        <w:rPr>
          <w:color w:val="333333"/>
          <w:spacing w:val="26"/>
        </w:rPr>
        <w:t> </w:t>
      </w:r>
      <w:r>
        <w:rPr>
          <w:color w:val="333333"/>
        </w:rPr>
        <w:t>in</w:t>
      </w:r>
      <w:r>
        <w:rPr>
          <w:color w:val="333333"/>
          <w:spacing w:val="26"/>
        </w:rPr>
        <w:t> </w:t>
      </w:r>
      <w:r>
        <w:rPr>
          <w:color w:val="333333"/>
        </w:rPr>
        <w:t>this</w:t>
      </w:r>
      <w:r>
        <w:rPr>
          <w:color w:val="333333"/>
          <w:spacing w:val="26"/>
        </w:rPr>
        <w:t> </w:t>
      </w:r>
      <w:r>
        <w:rPr>
          <w:color w:val="333333"/>
        </w:rPr>
        <w:t>digest,</w:t>
      </w:r>
      <w:r>
        <w:rPr>
          <w:color w:val="333333"/>
          <w:spacing w:val="26"/>
        </w:rPr>
        <w:t> </w:t>
      </w:r>
      <w:r>
        <w:rPr>
          <w:color w:val="333333"/>
        </w:rPr>
        <w:t>including</w:t>
      </w:r>
      <w:r>
        <w:rPr>
          <w:color w:val="333333"/>
          <w:spacing w:val="26"/>
        </w:rPr>
        <w:t> </w:t>
      </w:r>
      <w:r>
        <w:rPr>
          <w:color w:val="333333"/>
        </w:rPr>
        <w:t>source,</w:t>
      </w:r>
      <w:r>
        <w:rPr>
          <w:color w:val="333333"/>
          <w:spacing w:val="26"/>
        </w:rPr>
        <w:t> </w:t>
      </w:r>
      <w:r>
        <w:rPr>
          <w:color w:val="333333"/>
        </w:rPr>
        <w:t>author,</w:t>
      </w:r>
      <w:r>
        <w:rPr>
          <w:color w:val="333333"/>
          <w:spacing w:val="26"/>
        </w:rPr>
        <w:t> </w:t>
      </w:r>
      <w:r>
        <w:rPr>
          <w:color w:val="333333"/>
        </w:rPr>
        <w:t>and</w:t>
      </w:r>
      <w:r>
        <w:rPr>
          <w:color w:val="333333"/>
          <w:spacing w:val="26"/>
        </w:rPr>
        <w:t> </w:t>
      </w:r>
      <w:r>
        <w:rPr>
          <w:color w:val="333333"/>
        </w:rPr>
        <w:t>publication date. Bordered tables are ideal for structured data comparison.</w:t>
      </w:r>
    </w:p>
    <w:p>
      <w:pPr>
        <w:pStyle w:val="BodyText"/>
        <w:spacing w:before="49"/>
      </w:pPr>
    </w:p>
    <w:tbl>
      <w:tblPr>
        <w:tblW w:w="0" w:type="auto"/>
        <w:jc w:val="left"/>
        <w:tblInd w:w="267" w:type="dxa"/>
        <w:tblBorders>
          <w:top w:val="single" w:sz="6" w:space="0" w:color="AAAACC"/>
          <w:left w:val="single" w:sz="6" w:space="0" w:color="AAAACC"/>
          <w:bottom w:val="single" w:sz="6" w:space="0" w:color="AAAACC"/>
          <w:right w:val="single" w:sz="6" w:space="0" w:color="AAAACC"/>
          <w:insideH w:val="single" w:sz="6" w:space="0" w:color="AAAACC"/>
          <w:insideV w:val="single" w:sz="6" w:space="0" w:color="AAAA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4176"/>
        <w:gridCol w:w="1296"/>
        <w:gridCol w:w="1656"/>
        <w:gridCol w:w="1224"/>
      </w:tblGrid>
      <w:tr>
        <w:trPr>
          <w:trHeight w:val="485" w:hRule="atLeast"/>
        </w:trPr>
        <w:tc>
          <w:tcPr>
            <w:tcW w:w="504" w:type="dxa"/>
            <w:tcBorders>
              <w:left w:val="single" w:sz="12" w:space="0" w:color="2D3F56"/>
            </w:tcBorders>
            <w:shd w:val="clear" w:color="auto" w:fill="2D3F56"/>
          </w:tcPr>
          <w:p>
            <w:pPr>
              <w:pStyle w:val="TableParagraph"/>
              <w:ind w:left="0" w:right="1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10"/>
                <w:sz w:val="20"/>
              </w:rPr>
              <w:t>#</w:t>
            </w:r>
          </w:p>
        </w:tc>
        <w:tc>
          <w:tcPr>
            <w:tcW w:w="4176" w:type="dxa"/>
            <w:shd w:val="clear" w:color="auto" w:fill="2D3F5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Title</w:t>
            </w:r>
          </w:p>
        </w:tc>
        <w:tc>
          <w:tcPr>
            <w:tcW w:w="1296" w:type="dxa"/>
            <w:shd w:val="clear" w:color="auto" w:fill="2D3F5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Source</w:t>
            </w:r>
          </w:p>
        </w:tc>
        <w:tc>
          <w:tcPr>
            <w:tcW w:w="1656" w:type="dxa"/>
            <w:shd w:val="clear" w:color="auto" w:fill="2D3F5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Author</w:t>
            </w:r>
          </w:p>
        </w:tc>
        <w:tc>
          <w:tcPr>
            <w:tcW w:w="1224" w:type="dxa"/>
            <w:tcBorders>
              <w:right w:val="single" w:sz="12" w:space="0" w:color="2D3F56"/>
            </w:tcBorders>
            <w:shd w:val="clear" w:color="auto" w:fill="2D3F5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4"/>
                <w:sz w:val="20"/>
              </w:rPr>
              <w:t>Date</w:t>
            </w:r>
          </w:p>
        </w:tc>
      </w:tr>
      <w:tr>
        <w:trPr>
          <w:trHeight w:val="785" w:hRule="atLeast"/>
        </w:trPr>
        <w:tc>
          <w:tcPr>
            <w:tcW w:w="504" w:type="dxa"/>
            <w:tcBorders>
              <w:left w:val="single" w:sz="12" w:space="0" w:color="2D3F56"/>
            </w:tcBorders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28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1</w:t>
            </w:r>
          </w:p>
        </w:tc>
        <w:tc>
          <w:tcPr>
            <w:tcW w:w="4176" w:type="dxa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GLP-1s</w:t>
            </w:r>
            <w:r>
              <w:rPr>
                <w:color w:val="333333"/>
                <w:spacing w:val="34"/>
                <w:sz w:val="20"/>
              </w:rPr>
              <w:t> </w:t>
            </w:r>
            <w:r>
              <w:rPr>
                <w:color w:val="333333"/>
                <w:sz w:val="20"/>
              </w:rPr>
              <w:t>have</w:t>
            </w:r>
            <w:r>
              <w:rPr>
                <w:color w:val="333333"/>
                <w:spacing w:val="34"/>
                <w:sz w:val="20"/>
              </w:rPr>
              <w:t> </w:t>
            </w:r>
            <w:r>
              <w:rPr>
                <w:color w:val="333333"/>
                <w:sz w:val="20"/>
              </w:rPr>
              <w:t>transformed</w:t>
            </w:r>
            <w:r>
              <w:rPr>
                <w:color w:val="333333"/>
                <w:spacing w:val="34"/>
                <w:sz w:val="20"/>
              </w:rPr>
              <w:t> </w:t>
            </w:r>
            <w:r>
              <w:rPr>
                <w:color w:val="333333"/>
                <w:sz w:val="20"/>
              </w:rPr>
              <w:t>weight</w:t>
            </w:r>
            <w:r>
              <w:rPr>
                <w:color w:val="333333"/>
                <w:spacing w:val="34"/>
                <w:sz w:val="20"/>
              </w:rPr>
              <w:t> </w:t>
            </w:r>
            <w:r>
              <w:rPr>
                <w:color w:val="333333"/>
                <w:sz w:val="20"/>
              </w:rPr>
              <w:t>loss</w:t>
            </w:r>
            <w:r>
              <w:rPr>
                <w:color w:val="333333"/>
                <w:spacing w:val="34"/>
                <w:sz w:val="20"/>
              </w:rPr>
              <w:t> </w:t>
            </w:r>
            <w:r>
              <w:rPr>
                <w:color w:val="333333"/>
                <w:sz w:val="20"/>
              </w:rPr>
              <w:t>and diabetes. Is ad…</w:t>
            </w:r>
          </w:p>
        </w:tc>
        <w:tc>
          <w:tcPr>
            <w:tcW w:w="1296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NPR</w:t>
            </w:r>
          </w:p>
        </w:tc>
        <w:tc>
          <w:tcPr>
            <w:tcW w:w="1656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z w:val="20"/>
              </w:rPr>
              <w:t>Jon </w:t>
            </w:r>
            <w:r>
              <w:rPr>
                <w:color w:val="333333"/>
                <w:spacing w:val="-2"/>
                <w:sz w:val="20"/>
              </w:rPr>
              <w:t>Hamilton</w:t>
            </w:r>
          </w:p>
        </w:tc>
        <w:tc>
          <w:tcPr>
            <w:tcW w:w="1224" w:type="dxa"/>
            <w:tcBorders>
              <w:right w:val="single" w:sz="12" w:space="0" w:color="2D3F56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2026-03-</w:t>
            </w:r>
            <w:r>
              <w:rPr>
                <w:color w:val="333333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0</w:t>
            </w:r>
          </w:p>
        </w:tc>
      </w:tr>
      <w:tr>
        <w:trPr>
          <w:trHeight w:val="785" w:hRule="atLeast"/>
        </w:trPr>
        <w:tc>
          <w:tcPr>
            <w:tcW w:w="504" w:type="dxa"/>
            <w:tcBorders>
              <w:left w:val="single" w:sz="12" w:space="0" w:color="2D3F56"/>
            </w:tcBorders>
            <w:shd w:val="clear" w:color="auto" w:fill="EFF4F7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28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2</w:t>
            </w:r>
          </w:p>
        </w:tc>
        <w:tc>
          <w:tcPr>
            <w:tcW w:w="4176" w:type="dxa"/>
            <w:shd w:val="clear" w:color="auto" w:fill="EFF4F7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Mediterranean Diet Linked to Lower Risk </w:t>
            </w:r>
            <w:r>
              <w:rPr>
                <w:color w:val="333333"/>
                <w:sz w:val="20"/>
              </w:rPr>
              <w:t>of Heart Diseas…</w:t>
            </w:r>
          </w:p>
        </w:tc>
        <w:tc>
          <w:tcPr>
            <w:tcW w:w="1296" w:type="dxa"/>
            <w:shd w:val="clear" w:color="auto" w:fill="EFF4F7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WebMD</w:t>
            </w:r>
          </w:p>
        </w:tc>
        <w:tc>
          <w:tcPr>
            <w:tcW w:w="1656" w:type="dxa"/>
            <w:shd w:val="clear" w:color="auto" w:fill="EFF4F7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z w:val="20"/>
              </w:rPr>
              <w:t>Sarah </w:t>
            </w:r>
            <w:r>
              <w:rPr>
                <w:color w:val="333333"/>
                <w:spacing w:val="-2"/>
                <w:sz w:val="20"/>
              </w:rPr>
              <w:t>Klein</w:t>
            </w:r>
          </w:p>
        </w:tc>
        <w:tc>
          <w:tcPr>
            <w:tcW w:w="1224" w:type="dxa"/>
            <w:tcBorders>
              <w:right w:val="single" w:sz="12" w:space="0" w:color="2D3F56"/>
            </w:tcBorders>
            <w:shd w:val="clear" w:color="auto" w:fill="EFF4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2026-03-</w:t>
            </w:r>
            <w:r>
              <w:rPr>
                <w:color w:val="333333"/>
                <w:spacing w:val="-10"/>
                <w:sz w:val="20"/>
              </w:rPr>
              <w:t>0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8</w:t>
            </w:r>
          </w:p>
        </w:tc>
      </w:tr>
      <w:tr>
        <w:trPr>
          <w:trHeight w:val="785" w:hRule="atLeast"/>
        </w:trPr>
        <w:tc>
          <w:tcPr>
            <w:tcW w:w="504" w:type="dxa"/>
            <w:tcBorders>
              <w:left w:val="single" w:sz="12" w:space="0" w:color="2D3F56"/>
            </w:tcBorders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28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3</w:t>
            </w:r>
          </w:p>
        </w:tc>
        <w:tc>
          <w:tcPr>
            <w:tcW w:w="4176" w:type="dxa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7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Science-Backed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Benefits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of</w:t>
            </w:r>
            <w:r>
              <w:rPr>
                <w:color w:val="333333"/>
                <w:spacing w:val="57"/>
                <w:sz w:val="20"/>
              </w:rPr>
              <w:t> </w:t>
            </w:r>
            <w:r>
              <w:rPr>
                <w:color w:val="333333"/>
                <w:sz w:val="20"/>
              </w:rPr>
              <w:t>Intermittent </w:t>
            </w:r>
            <w:r>
              <w:rPr>
                <w:color w:val="333333"/>
                <w:spacing w:val="-2"/>
                <w:sz w:val="20"/>
              </w:rPr>
              <w:t>Fasting</w:t>
            </w:r>
          </w:p>
        </w:tc>
        <w:tc>
          <w:tcPr>
            <w:tcW w:w="1296" w:type="dxa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Healthline</w:t>
            </w:r>
          </w:p>
        </w:tc>
        <w:tc>
          <w:tcPr>
            <w:tcW w:w="1656" w:type="dxa"/>
          </w:tcPr>
          <w:p>
            <w:pPr>
              <w:pStyle w:val="TableParagraph"/>
              <w:spacing w:line="312" w:lineRule="auto"/>
              <w:ind w:right="774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Rachael Ajmera</w:t>
            </w:r>
          </w:p>
        </w:tc>
        <w:tc>
          <w:tcPr>
            <w:tcW w:w="1224" w:type="dxa"/>
            <w:tcBorders>
              <w:right w:val="single" w:sz="12" w:space="0" w:color="2D3F56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2026-03-</w:t>
            </w:r>
            <w:r>
              <w:rPr>
                <w:color w:val="333333"/>
                <w:spacing w:val="-10"/>
                <w:sz w:val="20"/>
              </w:rPr>
              <w:t>0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5</w:t>
            </w:r>
          </w:p>
        </w:tc>
      </w:tr>
      <w:tr>
        <w:trPr>
          <w:trHeight w:val="785" w:hRule="atLeast"/>
        </w:trPr>
        <w:tc>
          <w:tcPr>
            <w:tcW w:w="504" w:type="dxa"/>
            <w:tcBorders>
              <w:left w:val="single" w:sz="12" w:space="0" w:color="2D3F56"/>
            </w:tcBorders>
            <w:shd w:val="clear" w:color="auto" w:fill="EFF4F7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28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4</w:t>
            </w:r>
          </w:p>
        </w:tc>
        <w:tc>
          <w:tcPr>
            <w:tcW w:w="4176" w:type="dxa"/>
            <w:shd w:val="clear" w:color="auto" w:fill="EFF4F7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Mental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Health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Exercise: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What's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40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Connection?</w:t>
            </w:r>
          </w:p>
        </w:tc>
        <w:tc>
          <w:tcPr>
            <w:tcW w:w="1296" w:type="dxa"/>
            <w:shd w:val="clear" w:color="auto" w:fill="EFF4F7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Mayo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Clinic </w:t>
            </w:r>
            <w:r>
              <w:rPr>
                <w:color w:val="333333"/>
                <w:spacing w:val="-2"/>
                <w:sz w:val="20"/>
              </w:rPr>
              <w:t>Staff</w:t>
            </w:r>
          </w:p>
        </w:tc>
        <w:tc>
          <w:tcPr>
            <w:tcW w:w="1656" w:type="dxa"/>
            <w:shd w:val="clear" w:color="auto" w:fill="EFF4F7"/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z w:val="20"/>
              </w:rPr>
              <w:t>Mayo </w:t>
            </w:r>
            <w:r>
              <w:rPr>
                <w:color w:val="333333"/>
                <w:spacing w:val="-2"/>
                <w:sz w:val="20"/>
              </w:rPr>
              <w:t>Clinic</w:t>
            </w:r>
          </w:p>
        </w:tc>
        <w:tc>
          <w:tcPr>
            <w:tcW w:w="1224" w:type="dxa"/>
            <w:tcBorders>
              <w:right w:val="single" w:sz="12" w:space="0" w:color="2D3F56"/>
            </w:tcBorders>
            <w:shd w:val="clear" w:color="auto" w:fill="EFF4F7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2026-03-</w:t>
            </w:r>
            <w:r>
              <w:rPr>
                <w:color w:val="333333"/>
                <w:spacing w:val="-10"/>
                <w:sz w:val="20"/>
              </w:rPr>
              <w:t>0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1</w:t>
            </w:r>
          </w:p>
        </w:tc>
      </w:tr>
      <w:tr>
        <w:trPr>
          <w:trHeight w:val="777" w:hRule="atLeast"/>
        </w:trPr>
        <w:tc>
          <w:tcPr>
            <w:tcW w:w="504" w:type="dxa"/>
            <w:tcBorders>
              <w:left w:val="single" w:sz="12" w:space="0" w:color="2D3F56"/>
              <w:bottom w:val="single" w:sz="12" w:space="0" w:color="2D3F56"/>
            </w:tcBorders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28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5</w:t>
            </w:r>
          </w:p>
        </w:tc>
        <w:tc>
          <w:tcPr>
            <w:tcW w:w="4176" w:type="dxa"/>
            <w:tcBorders>
              <w:bottom w:val="single" w:sz="12" w:space="0" w:color="2D3F56"/>
            </w:tcBorders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Ultra-processed foods linked to early </w:t>
            </w:r>
            <w:r>
              <w:rPr>
                <w:color w:val="333333"/>
                <w:sz w:val="20"/>
              </w:rPr>
              <w:t>death, major stud…</w:t>
            </w:r>
          </w:p>
        </w:tc>
        <w:tc>
          <w:tcPr>
            <w:tcW w:w="1296" w:type="dxa"/>
            <w:tcBorders>
              <w:bottom w:val="single" w:sz="12" w:space="0" w:color="2D3F56"/>
            </w:tcBorders>
          </w:tcPr>
          <w:p>
            <w:pPr>
              <w:pStyle w:val="TableParagraph"/>
              <w:spacing w:before="2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333333"/>
                <w:sz w:val="20"/>
              </w:rPr>
              <w:t>BBC </w:t>
            </w:r>
            <w:r>
              <w:rPr>
                <w:color w:val="333333"/>
                <w:spacing w:val="-2"/>
                <w:sz w:val="20"/>
              </w:rPr>
              <w:t>Health</w:t>
            </w:r>
          </w:p>
        </w:tc>
        <w:tc>
          <w:tcPr>
            <w:tcW w:w="1656" w:type="dxa"/>
            <w:tcBorders>
              <w:bottom w:val="single" w:sz="12" w:space="0" w:color="2D3F56"/>
            </w:tcBorders>
          </w:tcPr>
          <w:p>
            <w:pPr>
              <w:pStyle w:val="TableParagraph"/>
              <w:spacing w:line="312" w:lineRule="auto"/>
              <w:ind w:right="10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James Gallagher</w:t>
            </w:r>
          </w:p>
        </w:tc>
        <w:tc>
          <w:tcPr>
            <w:tcW w:w="1224" w:type="dxa"/>
            <w:tcBorders>
              <w:bottom w:val="single" w:sz="12" w:space="0" w:color="2D3F56"/>
              <w:right w:val="single" w:sz="12" w:space="0" w:color="2D3F56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2026-02-</w:t>
            </w:r>
            <w:r>
              <w:rPr>
                <w:color w:val="333333"/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5</w:t>
            </w:r>
          </w:p>
        </w:tc>
      </w:tr>
    </w:tbl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5943600" cy="3556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8A2FC8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VISUAL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HIGHLIGHTS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25pt;width:468pt;height:28pt;mso-position-horizontal-relative:page;mso-position-vertical-relative:paragraph;z-index:-15726592;mso-wrap-distance-left:0;mso-wrap-distance-right:0" type="#_x0000_t202" id="docshape4" filled="true" fillcolor="#8a2fc8" stroked="false">
                <v:textbox inset="0,0,0,0">
                  <w:txbxContent>
                    <w:p>
                      <w:pPr>
                        <w:spacing w:before="171"/>
                        <w:ind w:left="12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VISUAL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HIGHLIGHTS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spacing w:before="0"/>
        <w:ind w:left="120" w:right="12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-2200850</wp:posOffset>
            </wp:positionV>
            <wp:extent cx="5943600" cy="219456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777777"/>
          <w:sz w:val="16"/>
        </w:rPr>
        <w:t>Image: Mediterranean Diet Linked to Lower Risk of Heart Disease — </w:t>
      </w:r>
      <w:r>
        <w:rPr>
          <w:rFonts w:ascii="Arial" w:hAnsi="Arial"/>
          <w:i/>
          <w:color w:val="777777"/>
          <w:spacing w:val="-2"/>
          <w:sz w:val="16"/>
        </w:rPr>
        <w:t>WebMD</w:t>
      </w:r>
    </w:p>
    <w:p>
      <w:pPr>
        <w:spacing w:after="0"/>
        <w:jc w:val="center"/>
        <w:rPr>
          <w:rFonts w:ascii="Arial" w:hAnsi="Arial"/>
          <w:i/>
          <w:sz w:val="16"/>
        </w:rPr>
        <w:sectPr>
          <w:pgSz w:w="12240" w:h="15840"/>
          <w:pgMar w:top="1560" w:bottom="280" w:left="1440" w:right="1440"/>
        </w:sectPr>
      </w:pPr>
    </w:p>
    <w:p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990600</wp:posOffset>
            </wp:positionV>
            <wp:extent cx="5943600" cy="219455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54"/>
        <w:rPr>
          <w:rFonts w:ascii="Arial"/>
          <w:i/>
          <w:sz w:val="16"/>
        </w:rPr>
      </w:pPr>
    </w:p>
    <w:p>
      <w:pPr>
        <w:spacing w:before="0"/>
        <w:ind w:left="120" w:right="12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777777"/>
          <w:sz w:val="16"/>
        </w:rPr>
        <w:t>Image: 7 Science-Backed Benefits of Intermittent Fasting — </w:t>
      </w:r>
      <w:r>
        <w:rPr>
          <w:rFonts w:ascii="Arial" w:hAnsi="Arial"/>
          <w:i/>
          <w:color w:val="777777"/>
          <w:spacing w:val="-2"/>
          <w:sz w:val="16"/>
        </w:rPr>
        <w:t>Healthline</w:t>
      </w:r>
    </w:p>
    <w:p>
      <w:pPr>
        <w:spacing w:after="0"/>
        <w:jc w:val="center"/>
        <w:rPr>
          <w:rFonts w:ascii="Arial" w:hAnsi="Arial"/>
          <w:i/>
          <w:sz w:val="16"/>
        </w:rPr>
        <w:sectPr>
          <w:pgSz w:w="12240" w:h="15840"/>
          <w:pgMar w:top="1560" w:bottom="280" w:left="1440" w:right="1440"/>
        </w:sectPr>
      </w:pPr>
    </w:p>
    <w:p>
      <w:pPr>
        <w:pStyle w:val="BodyText"/>
        <w:ind w:right="-58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3556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BF382A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1" w:firstLine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KEY STATISTICS — NO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BORDERS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8pt;mso-position-horizontal-relative:char;mso-position-vertical-relative:line" type="#_x0000_t202" id="docshape5" filled="true" fillcolor="#bf382a" stroked="false">
                <w10:anchorlock/>
                <v:textbox inset="0,0,0,0">
                  <w:txbxContent>
                    <w:p>
                      <w:pPr>
                        <w:spacing w:before="171"/>
                        <w:ind w:left="120" w:right="1" w:firstLine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KEY STATISTICS — NO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8"/>
                        </w:rPr>
                        <w:t>BORDERS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line="312" w:lineRule="auto" w:before="203"/>
        <w:ind w:left="120"/>
      </w:pPr>
      <w:r>
        <w:rPr>
          <w:color w:val="333333"/>
        </w:rPr>
        <w:t>Borderless tables convey information with a cleaner, more editorial look. Subtle row shading </w:t>
      </w:r>
      <w:r>
        <w:rPr>
          <w:color w:val="333333"/>
        </w:rPr>
        <w:t>maintains readability without visible grid lines.</w:t>
      </w:r>
    </w:p>
    <w:p>
      <w:pPr>
        <w:pStyle w:val="BodyText"/>
        <w:spacing w:before="223"/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2"/>
        <w:gridCol w:w="1736"/>
        <w:gridCol w:w="4254"/>
      </w:tblGrid>
      <w:tr>
        <w:trPr>
          <w:trHeight w:val="411" w:hRule="atLeast"/>
        </w:trPr>
        <w:tc>
          <w:tcPr>
            <w:tcW w:w="3372" w:type="dxa"/>
            <w:tcBorders>
              <w:bottom w:val="single" w:sz="8" w:space="0" w:color="2D3F56"/>
            </w:tcBorders>
          </w:tcPr>
          <w:p>
            <w:pPr>
              <w:pStyle w:val="TableParagraph"/>
              <w:spacing w:line="223" w:lineRule="exact" w:before="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Statistic</w:t>
            </w:r>
          </w:p>
        </w:tc>
        <w:tc>
          <w:tcPr>
            <w:tcW w:w="1736" w:type="dxa"/>
            <w:tcBorders>
              <w:bottom w:val="single" w:sz="8" w:space="0" w:color="2D3F56"/>
            </w:tcBorders>
          </w:tcPr>
          <w:p>
            <w:pPr>
              <w:pStyle w:val="TableParagraph"/>
              <w:spacing w:line="223" w:lineRule="exact" w:before="0"/>
              <w:ind w:left="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Value</w:t>
            </w:r>
          </w:p>
        </w:tc>
        <w:tc>
          <w:tcPr>
            <w:tcW w:w="4254" w:type="dxa"/>
            <w:tcBorders>
              <w:bottom w:val="single" w:sz="8" w:space="0" w:color="2D3F56"/>
            </w:tcBorders>
          </w:tcPr>
          <w:p>
            <w:pPr>
              <w:pStyle w:val="TableParagraph"/>
              <w:spacing w:line="223" w:lineRule="exact" w:before="0"/>
              <w:ind w:left="6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Context</w:t>
            </w:r>
          </w:p>
        </w:tc>
      </w:tr>
      <w:tr>
        <w:trPr>
          <w:trHeight w:val="372" w:hRule="atLeast"/>
        </w:trPr>
        <w:tc>
          <w:tcPr>
            <w:tcW w:w="3372" w:type="dxa"/>
            <w:tcBorders>
              <w:top w:val="single" w:sz="8" w:space="0" w:color="2D3F56"/>
            </w:tcBorders>
          </w:tcPr>
          <w:p>
            <w:pPr>
              <w:pStyle w:val="TableParagraph"/>
              <w:spacing w:line="210" w:lineRule="exact" w:before="142"/>
              <w:ind w:left="160"/>
              <w:rPr>
                <w:sz w:val="20"/>
              </w:rPr>
            </w:pPr>
            <w:r>
              <w:rPr>
                <w:sz w:val="20"/>
              </w:rPr>
              <w:t>GLP-1 addiction risk </w:t>
            </w:r>
            <w:r>
              <w:rPr>
                <w:spacing w:val="-2"/>
                <w:sz w:val="20"/>
              </w:rPr>
              <w:t>reduction</w:t>
            </w:r>
          </w:p>
        </w:tc>
        <w:tc>
          <w:tcPr>
            <w:tcW w:w="1736" w:type="dxa"/>
            <w:tcBorders>
              <w:top w:val="single" w:sz="8" w:space="0" w:color="2D3F56"/>
            </w:tcBorders>
          </w:tcPr>
          <w:p>
            <w:pPr>
              <w:pStyle w:val="TableParagraph"/>
              <w:spacing w:line="210" w:lineRule="exact" w:before="142"/>
              <w:ind w:left="531"/>
              <w:rPr>
                <w:sz w:val="20"/>
              </w:rPr>
            </w:pPr>
            <w:r>
              <w:rPr>
                <w:spacing w:val="-4"/>
                <w:sz w:val="20"/>
              </w:rPr>
              <w:t>~15%</w:t>
            </w:r>
          </w:p>
        </w:tc>
        <w:tc>
          <w:tcPr>
            <w:tcW w:w="4254" w:type="dxa"/>
            <w:tcBorders>
              <w:top w:val="single" w:sz="8" w:space="0" w:color="2D3F56"/>
            </w:tcBorders>
          </w:tcPr>
          <w:p>
            <w:pPr>
              <w:pStyle w:val="TableParagraph"/>
              <w:spacing w:line="210" w:lineRule="exact" w:before="142"/>
              <w:ind w:left="668"/>
              <w:rPr>
                <w:sz w:val="20"/>
              </w:rPr>
            </w:pPr>
            <w:r>
              <w:rPr>
                <w:sz w:val="20"/>
              </w:rPr>
              <w:t>Study of 600,000+ </w:t>
            </w:r>
            <w:r>
              <w:rPr>
                <w:spacing w:val="-2"/>
                <w:sz w:val="20"/>
              </w:rPr>
              <w:t>veterans</w:t>
            </w:r>
          </w:p>
        </w:tc>
      </w:tr>
    </w:tbl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87664</wp:posOffset>
                </wp:positionV>
                <wp:extent cx="5943600" cy="3302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6F6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775" w:val="left" w:leader="none"/>
                              </w:tabs>
                              <w:spacing w:before="15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Heart disease risk reduction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(Mediterranea2n8d%iet)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25,000 participants over 10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years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902734pt;width:468pt;height:26pt;mso-position-horizontal-relative:page;mso-position-vertical-relative:paragraph;z-index:-15724544;mso-wrap-distance-left:0;mso-wrap-distance-right:0" type="#_x0000_t202" id="docshape6" filled="true" fillcolor="#f6f6fb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775" w:val="left" w:leader="none"/>
                        </w:tabs>
                        <w:spacing w:before="15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Heart disease risk reduction </w:t>
                      </w:r>
                      <w:r>
                        <w:rPr>
                          <w:color w:val="000000"/>
                          <w:spacing w:val="-2"/>
                        </w:rPr>
                        <w:t>(Mediterranea2n8d%iet)</w:t>
                      </w:r>
                      <w:r>
                        <w:rPr>
                          <w:color w:val="000000"/>
                        </w:rPr>
                        <w:tab/>
                        <w:t>25,000 participants over 10 </w:t>
                      </w:r>
                      <w:r>
                        <w:rPr>
                          <w:color w:val="000000"/>
                          <w:spacing w:val="-2"/>
                        </w:rPr>
                        <w:t>years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03" w:val="left" w:leader="none"/>
          <w:tab w:pos="5775" w:val="left" w:leader="none"/>
        </w:tabs>
        <w:spacing w:before="152"/>
        <w:ind w:left="160"/>
      </w:pPr>
      <w:r>
        <w:rPr/>
        <w:t>Antidepressant equivalence </w:t>
      </w:r>
      <w:r>
        <w:rPr>
          <w:spacing w:val="-2"/>
        </w:rPr>
        <w:t>(exercise)</w:t>
      </w:r>
      <w:r>
        <w:rPr/>
        <w:tab/>
      </w:r>
      <w:r>
        <w:rPr>
          <w:spacing w:val="-2"/>
        </w:rPr>
        <w:t>Comparable</w:t>
      </w:r>
      <w:r>
        <w:rPr/>
        <w:tab/>
        <w:t>49</w:t>
      </w:r>
      <w:r>
        <w:rPr>
          <w:spacing w:val="-2"/>
        </w:rPr>
        <w:t> </w:t>
      </w:r>
      <w:r>
        <w:rPr/>
        <w:t>clinical trial </w:t>
      </w:r>
      <w:r>
        <w:rPr>
          <w:spacing w:val="-2"/>
        </w:rPr>
        <w:t>review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87642</wp:posOffset>
                </wp:positionV>
                <wp:extent cx="5943600" cy="3302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6F6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775" w:val="left" w:leader="none"/>
                              </w:tabs>
                              <w:spacing w:before="15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Ultra-processed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food mortality risk 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increas</w:t>
                            </w:r>
                            <w:r>
                              <w:rPr>
                                <w:color w:val="000000"/>
                                <w:spacing w:val="-96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+19%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20-country Lancet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900977pt;width:468pt;height:26pt;mso-position-horizontal-relative:page;mso-position-vertical-relative:paragraph;z-index:-15724032;mso-wrap-distance-left:0;mso-wrap-distance-right:0" type="#_x0000_t202" id="docshape7" filled="true" fillcolor="#f6f6fb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775" w:val="left" w:leader="none"/>
                        </w:tabs>
                        <w:spacing w:before="15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Ultra-processed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food mortality risk </w:t>
                      </w:r>
                      <w:r>
                        <w:rPr>
                          <w:color w:val="000000"/>
                          <w:spacing w:val="6"/>
                        </w:rPr>
                        <w:t>increas</w:t>
                      </w:r>
                      <w:r>
                        <w:rPr>
                          <w:color w:val="000000"/>
                          <w:spacing w:val="-96"/>
                        </w:rPr>
                        <w:t>e</w:t>
                      </w:r>
                      <w:r>
                        <w:rPr>
                          <w:color w:val="000000"/>
                          <w:spacing w:val="6"/>
                        </w:rPr>
                        <w:t>+19%</w:t>
                      </w:r>
                      <w:r>
                        <w:rPr>
                          <w:color w:val="000000"/>
                        </w:rPr>
                        <w:tab/>
                        <w:t>20-country Lancet </w:t>
                      </w:r>
                      <w:r>
                        <w:rPr>
                          <w:color w:val="000000"/>
                          <w:spacing w:val="-2"/>
                        </w:rPr>
                        <w:t>study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03" w:val="left" w:leader="none"/>
          <w:tab w:pos="5775" w:val="left" w:leader="none"/>
        </w:tabs>
        <w:spacing w:before="152"/>
        <w:ind w:left="160"/>
      </w:pPr>
      <w:r>
        <w:rPr/>
        <w:t>Average weight loss — orforglipron </w:t>
      </w:r>
      <w:r>
        <w:rPr>
          <w:spacing w:val="-2"/>
        </w:rPr>
        <w:t>trial</w:t>
      </w:r>
      <w:r>
        <w:rPr/>
        <w:tab/>
        <w:t>~20 </w:t>
      </w:r>
      <w:r>
        <w:rPr>
          <w:spacing w:val="-5"/>
        </w:rPr>
        <w:t>lbs</w:t>
      </w:r>
      <w:r>
        <w:rPr/>
        <w:tab/>
        <w:t>Eli</w:t>
      </w:r>
      <w:r>
        <w:rPr>
          <w:spacing w:val="-2"/>
        </w:rPr>
        <w:t> </w:t>
      </w:r>
      <w:r>
        <w:rPr/>
        <w:t>Lilly clinical trial,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215924</wp:posOffset>
                </wp:positionV>
                <wp:extent cx="5943600" cy="3556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2D3F56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MORE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ARTICLES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001953pt;width:468pt;height:28pt;mso-position-horizontal-relative:page;mso-position-vertical-relative:paragraph;z-index:-15723520;mso-wrap-distance-left:0;mso-wrap-distance-right:0" type="#_x0000_t202" id="docshape8" filled="true" fillcolor="#2d3f56" stroked="false">
                <v:textbox inset="0,0,0,0">
                  <w:txbxContent>
                    <w:p>
                      <w:pPr>
                        <w:spacing w:before="171"/>
                        <w:ind w:left="12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MORE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ARTICLES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-904223</wp:posOffset>
                </wp:positionV>
                <wp:extent cx="59436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2pt,-71.19873pt" to="540pt,-71.19873pt" stroked="true" strokeweight=".5pt" strokecolor="#cccccc">
                <v:stroke dashstyle="solid"/>
                <w10:wrap type="none"/>
              </v:line>
            </w:pict>
          </mc:Fallback>
        </mc:AlternateContent>
      </w:r>
      <w:r>
        <w:rPr>
          <w:color w:val="2D3F56"/>
        </w:rPr>
        <w:t>Mediterranean Diet Linked to Lower Risk of Heart </w:t>
      </w:r>
      <w:r>
        <w:rPr>
          <w:color w:val="2D3F56"/>
          <w:spacing w:val="-2"/>
        </w:rPr>
        <w:t>Disease</w:t>
      </w:r>
    </w:p>
    <w:p>
      <w:pPr>
        <w:spacing w:before="116"/>
        <w:ind w:left="120" w:right="0" w:firstLine="0"/>
        <w:jc w:val="left"/>
        <w:rPr>
          <w:sz w:val="18"/>
        </w:rPr>
      </w:pPr>
      <w:r>
        <w:rPr>
          <w:rFonts w:ascii="Arial" w:hAnsi="Arial"/>
          <w:i/>
          <w:color w:val="878787"/>
          <w:sz w:val="18"/>
        </w:rPr>
        <w:t>WebMD </w:t>
      </w:r>
      <w:r>
        <w:rPr>
          <w:color w:val="878787"/>
          <w:sz w:val="18"/>
        </w:rPr>
        <w:t>· Sarah Klein · 2026-03-</w:t>
      </w:r>
      <w:r>
        <w:rPr>
          <w:color w:val="878787"/>
          <w:spacing w:val="-5"/>
          <w:sz w:val="18"/>
        </w:rPr>
        <w:t>08</w:t>
      </w:r>
    </w:p>
    <w:p>
      <w:pPr>
        <w:pStyle w:val="BodyText"/>
        <w:spacing w:line="312" w:lineRule="auto" w:before="134"/>
        <w:ind w:left="120"/>
      </w:pPr>
      <w:r>
        <w:rPr>
          <w:color w:val="333333"/>
        </w:rPr>
        <w:t>New</w:t>
      </w:r>
      <w:r>
        <w:rPr>
          <w:color w:val="333333"/>
          <w:spacing w:val="40"/>
        </w:rPr>
        <w:t> </w:t>
      </w:r>
      <w:r>
        <w:rPr>
          <w:color w:val="333333"/>
        </w:rPr>
        <w:t>research</w:t>
      </w:r>
      <w:r>
        <w:rPr>
          <w:color w:val="333333"/>
          <w:spacing w:val="40"/>
        </w:rPr>
        <w:t> </w:t>
      </w:r>
      <w:r>
        <w:rPr>
          <w:color w:val="333333"/>
        </w:rPr>
        <w:t>confirms</w:t>
      </w:r>
      <w:r>
        <w:rPr>
          <w:color w:val="333333"/>
          <w:spacing w:val="40"/>
        </w:rPr>
        <w:t> </w:t>
      </w:r>
      <w:r>
        <w:rPr>
          <w:color w:val="333333"/>
        </w:rPr>
        <w:t>that</w:t>
      </w:r>
      <w:r>
        <w:rPr>
          <w:color w:val="333333"/>
          <w:spacing w:val="40"/>
        </w:rPr>
        <w:t> </w:t>
      </w:r>
      <w:r>
        <w:rPr>
          <w:color w:val="333333"/>
        </w:rPr>
        <w:t>adherence</w:t>
      </w:r>
      <w:r>
        <w:rPr>
          <w:color w:val="333333"/>
          <w:spacing w:val="40"/>
        </w:rPr>
        <w:t> </w:t>
      </w:r>
      <w:r>
        <w:rPr>
          <w:color w:val="333333"/>
        </w:rPr>
        <w:t>to</w:t>
      </w:r>
      <w:r>
        <w:rPr>
          <w:color w:val="333333"/>
          <w:spacing w:val="40"/>
        </w:rPr>
        <w:t> </w:t>
      </w:r>
      <w:r>
        <w:rPr>
          <w:color w:val="333333"/>
        </w:rPr>
        <w:t>the</w:t>
      </w:r>
      <w:r>
        <w:rPr>
          <w:color w:val="333333"/>
          <w:spacing w:val="40"/>
        </w:rPr>
        <w:t> </w:t>
      </w:r>
      <w:r>
        <w:rPr>
          <w:color w:val="333333"/>
        </w:rPr>
        <w:t>Mediterranean</w:t>
      </w:r>
      <w:r>
        <w:rPr>
          <w:color w:val="333333"/>
          <w:spacing w:val="40"/>
        </w:rPr>
        <w:t> </w:t>
      </w:r>
      <w:r>
        <w:rPr>
          <w:color w:val="333333"/>
        </w:rPr>
        <w:t>diet</w:t>
      </w:r>
      <w:r>
        <w:rPr>
          <w:color w:val="333333"/>
          <w:spacing w:val="40"/>
        </w:rPr>
        <w:t> </w:t>
      </w:r>
      <w:r>
        <w:rPr>
          <w:color w:val="333333"/>
        </w:rPr>
        <w:t>significantly</w:t>
      </w:r>
      <w:r>
        <w:rPr>
          <w:color w:val="333333"/>
          <w:spacing w:val="40"/>
        </w:rPr>
        <w:t> </w:t>
      </w:r>
      <w:r>
        <w:rPr>
          <w:color w:val="333333"/>
        </w:rPr>
        <w:t>reduces</w:t>
      </w:r>
      <w:r>
        <w:rPr>
          <w:color w:val="333333"/>
          <w:spacing w:val="40"/>
        </w:rPr>
        <w:t> </w:t>
      </w:r>
      <w:r>
        <w:rPr>
          <w:color w:val="333333"/>
        </w:rPr>
        <w:t>the</w:t>
      </w:r>
      <w:r>
        <w:rPr>
          <w:color w:val="333333"/>
          <w:spacing w:val="40"/>
        </w:rPr>
        <w:t> </w:t>
      </w:r>
      <w:r>
        <w:rPr>
          <w:color w:val="333333"/>
        </w:rPr>
        <w:t>risk</w:t>
      </w:r>
      <w:r>
        <w:rPr>
          <w:color w:val="333333"/>
          <w:spacing w:val="40"/>
        </w:rPr>
        <w:t> </w:t>
      </w:r>
      <w:r>
        <w:rPr>
          <w:color w:val="333333"/>
        </w:rPr>
        <w:t>of cardiovascular events in adults over 50.</w:t>
      </w:r>
    </w:p>
    <w:p>
      <w:pPr>
        <w:pStyle w:val="BodyText"/>
        <w:spacing w:before="208"/>
      </w:pPr>
    </w:p>
    <w:p>
      <w:pPr>
        <w:pStyle w:val="Heading1"/>
      </w:pPr>
      <w:r>
        <w:rPr>
          <w:color w:val="2D3F56"/>
        </w:rPr>
        <w:t>7 Science-Backed Benefits of Intermittent </w:t>
      </w:r>
      <w:r>
        <w:rPr>
          <w:color w:val="2D3F56"/>
          <w:spacing w:val="-2"/>
        </w:rPr>
        <w:t>Fasting</w:t>
      </w:r>
    </w:p>
    <w:p>
      <w:pPr>
        <w:spacing w:before="116"/>
        <w:ind w:left="120" w:right="0" w:firstLine="0"/>
        <w:jc w:val="left"/>
        <w:rPr>
          <w:sz w:val="18"/>
        </w:rPr>
      </w:pPr>
      <w:r>
        <w:rPr>
          <w:rFonts w:ascii="Arial" w:hAnsi="Arial"/>
          <w:i/>
          <w:color w:val="878787"/>
          <w:sz w:val="18"/>
        </w:rPr>
        <w:t>Healthline </w:t>
      </w:r>
      <w:r>
        <w:rPr>
          <w:color w:val="878787"/>
          <w:sz w:val="18"/>
        </w:rPr>
        <w:t>· Rachael Ajmera · 2026-03-</w:t>
      </w:r>
      <w:r>
        <w:rPr>
          <w:color w:val="878787"/>
          <w:spacing w:val="-5"/>
          <w:sz w:val="18"/>
        </w:rPr>
        <w:t>05</w:t>
      </w:r>
    </w:p>
    <w:p>
      <w:pPr>
        <w:pStyle w:val="BodyText"/>
        <w:spacing w:line="312" w:lineRule="auto" w:before="134"/>
        <w:ind w:left="120"/>
      </w:pPr>
      <w:r>
        <w:rPr>
          <w:color w:val="333333"/>
        </w:rPr>
        <w:t>From</w:t>
      </w:r>
      <w:r>
        <w:rPr>
          <w:color w:val="333333"/>
          <w:spacing w:val="40"/>
        </w:rPr>
        <w:t> </w:t>
      </w:r>
      <w:r>
        <w:rPr>
          <w:color w:val="333333"/>
        </w:rPr>
        <w:t>weight</w:t>
      </w:r>
      <w:r>
        <w:rPr>
          <w:color w:val="333333"/>
          <w:spacing w:val="40"/>
        </w:rPr>
        <w:t> </w:t>
      </w:r>
      <w:r>
        <w:rPr>
          <w:color w:val="333333"/>
        </w:rPr>
        <w:t>loss</w:t>
      </w:r>
      <w:r>
        <w:rPr>
          <w:color w:val="333333"/>
          <w:spacing w:val="40"/>
        </w:rPr>
        <w:t> </w:t>
      </w:r>
      <w:r>
        <w:rPr>
          <w:color w:val="333333"/>
        </w:rPr>
        <w:t>to</w:t>
      </w:r>
      <w:r>
        <w:rPr>
          <w:color w:val="333333"/>
          <w:spacing w:val="40"/>
        </w:rPr>
        <w:t> </w:t>
      </w:r>
      <w:r>
        <w:rPr>
          <w:color w:val="333333"/>
        </w:rPr>
        <w:t>improved</w:t>
      </w:r>
      <w:r>
        <w:rPr>
          <w:color w:val="333333"/>
          <w:spacing w:val="40"/>
        </w:rPr>
        <w:t> </w:t>
      </w:r>
      <w:r>
        <w:rPr>
          <w:color w:val="333333"/>
        </w:rPr>
        <w:t>brain</w:t>
      </w:r>
      <w:r>
        <w:rPr>
          <w:color w:val="333333"/>
          <w:spacing w:val="40"/>
        </w:rPr>
        <w:t> </w:t>
      </w:r>
      <w:r>
        <w:rPr>
          <w:color w:val="333333"/>
        </w:rPr>
        <w:t>function,</w:t>
      </w:r>
      <w:r>
        <w:rPr>
          <w:color w:val="333333"/>
          <w:spacing w:val="40"/>
        </w:rPr>
        <w:t> </w:t>
      </w:r>
      <w:r>
        <w:rPr>
          <w:color w:val="333333"/>
        </w:rPr>
        <w:t>intermittent</w:t>
      </w:r>
      <w:r>
        <w:rPr>
          <w:color w:val="333333"/>
          <w:spacing w:val="40"/>
        </w:rPr>
        <w:t> </w:t>
      </w:r>
      <w:r>
        <w:rPr>
          <w:color w:val="333333"/>
        </w:rPr>
        <w:t>fasting</w:t>
      </w:r>
      <w:r>
        <w:rPr>
          <w:color w:val="333333"/>
          <w:spacing w:val="40"/>
        </w:rPr>
        <w:t> </w:t>
      </w:r>
      <w:r>
        <w:rPr>
          <w:color w:val="333333"/>
        </w:rPr>
        <w:t>has</w:t>
      </w:r>
      <w:r>
        <w:rPr>
          <w:color w:val="333333"/>
          <w:spacing w:val="40"/>
        </w:rPr>
        <w:t> </w:t>
      </w:r>
      <w:r>
        <w:rPr>
          <w:color w:val="333333"/>
        </w:rPr>
        <w:t>a</w:t>
      </w:r>
      <w:r>
        <w:rPr>
          <w:color w:val="333333"/>
          <w:spacing w:val="40"/>
        </w:rPr>
        <w:t> </w:t>
      </w:r>
      <w:r>
        <w:rPr>
          <w:color w:val="333333"/>
        </w:rPr>
        <w:t>growing</w:t>
      </w:r>
      <w:r>
        <w:rPr>
          <w:color w:val="333333"/>
          <w:spacing w:val="40"/>
        </w:rPr>
        <w:t> </w:t>
      </w:r>
      <w:r>
        <w:rPr>
          <w:color w:val="333333"/>
        </w:rPr>
        <w:t>body</w:t>
      </w:r>
      <w:r>
        <w:rPr>
          <w:color w:val="333333"/>
          <w:spacing w:val="40"/>
        </w:rPr>
        <w:t> </w:t>
      </w:r>
      <w:r>
        <w:rPr>
          <w:color w:val="333333"/>
        </w:rPr>
        <w:t>of</w:t>
      </w:r>
      <w:r>
        <w:rPr>
          <w:color w:val="333333"/>
          <w:spacing w:val="40"/>
        </w:rPr>
        <w:t> </w:t>
      </w:r>
      <w:r>
        <w:rPr>
          <w:color w:val="333333"/>
        </w:rPr>
        <w:t>evidence supporting its health benefits.</w:t>
      </w:r>
    </w:p>
    <w:p>
      <w:pPr>
        <w:pStyle w:val="BodyText"/>
        <w:spacing w:before="208"/>
      </w:pPr>
    </w:p>
    <w:p>
      <w:pPr>
        <w:pStyle w:val="Heading1"/>
      </w:pPr>
      <w:r>
        <w:rPr>
          <w:color w:val="2D3F56"/>
        </w:rPr>
        <w:t>Mental Health and Exercise: What's the </w:t>
      </w:r>
      <w:r>
        <w:rPr>
          <w:color w:val="2D3F56"/>
          <w:spacing w:val="-2"/>
        </w:rPr>
        <w:t>Connection?</w:t>
      </w:r>
    </w:p>
    <w:p>
      <w:pPr>
        <w:spacing w:before="116"/>
        <w:ind w:left="120" w:right="0" w:firstLine="0"/>
        <w:jc w:val="left"/>
        <w:rPr>
          <w:sz w:val="18"/>
        </w:rPr>
      </w:pPr>
      <w:r>
        <w:rPr>
          <w:rFonts w:ascii="Arial" w:hAnsi="Arial"/>
          <w:i/>
          <w:color w:val="878787"/>
          <w:sz w:val="18"/>
        </w:rPr>
        <w:t>Mayo Clinic Staff </w:t>
      </w:r>
      <w:r>
        <w:rPr>
          <w:color w:val="878787"/>
          <w:sz w:val="18"/>
        </w:rPr>
        <w:t>· Mayo Clinic · 2026-03-</w:t>
      </w:r>
      <w:r>
        <w:rPr>
          <w:color w:val="878787"/>
          <w:spacing w:val="-5"/>
          <w:sz w:val="18"/>
        </w:rPr>
        <w:t>01</w:t>
      </w:r>
    </w:p>
    <w:p>
      <w:pPr>
        <w:pStyle w:val="BodyText"/>
        <w:spacing w:line="312" w:lineRule="auto" w:before="134"/>
        <w:ind w:left="120"/>
      </w:pPr>
      <w:r>
        <w:rPr>
          <w:color w:val="333333"/>
        </w:rPr>
        <w:t>Regular physical activity can ease symptoms of depression and anxiety, and experts now say it </w:t>
      </w:r>
      <w:r>
        <w:rPr>
          <w:color w:val="333333"/>
        </w:rPr>
        <w:t>should be a standard part of mental health treatment.</w:t>
      </w:r>
    </w:p>
    <w:p>
      <w:pPr>
        <w:pStyle w:val="BodyText"/>
        <w:spacing w:before="208"/>
      </w:pPr>
    </w:p>
    <w:p>
      <w:pPr>
        <w:pStyle w:val="Heading1"/>
      </w:pPr>
      <w:r>
        <w:rPr>
          <w:color w:val="2D3F56"/>
        </w:rPr>
        <w:t>Ultra-processed foods linked to early death, major study </w:t>
      </w:r>
      <w:r>
        <w:rPr>
          <w:color w:val="2D3F56"/>
          <w:spacing w:val="-2"/>
        </w:rPr>
        <w:t>finds</w:t>
      </w:r>
    </w:p>
    <w:p>
      <w:pPr>
        <w:spacing w:before="116"/>
        <w:ind w:left="120" w:right="0" w:firstLine="0"/>
        <w:jc w:val="left"/>
        <w:rPr>
          <w:sz w:val="18"/>
        </w:rPr>
      </w:pPr>
      <w:r>
        <w:rPr>
          <w:rFonts w:ascii="Arial" w:hAnsi="Arial"/>
          <w:i/>
          <w:color w:val="878787"/>
          <w:sz w:val="18"/>
        </w:rPr>
        <w:t>BBC Health </w:t>
      </w:r>
      <w:r>
        <w:rPr>
          <w:color w:val="878787"/>
          <w:sz w:val="18"/>
        </w:rPr>
        <w:t>· James Gallagher · 2026-02-</w:t>
      </w:r>
      <w:r>
        <w:rPr>
          <w:color w:val="878787"/>
          <w:spacing w:val="-5"/>
          <w:sz w:val="18"/>
        </w:rPr>
        <w:t>25</w:t>
      </w:r>
    </w:p>
    <w:p>
      <w:pPr>
        <w:spacing w:after="0"/>
        <w:jc w:val="left"/>
        <w:rPr>
          <w:sz w:val="18"/>
        </w:rPr>
        <w:sectPr>
          <w:pgSz w:w="12240" w:h="15840"/>
          <w:pgMar w:top="1560" w:bottom="280" w:left="1440" w:right="1440"/>
        </w:sectPr>
      </w:pPr>
    </w:p>
    <w:p>
      <w:pPr>
        <w:pStyle w:val="BodyText"/>
        <w:spacing w:line="312" w:lineRule="auto" w:before="72"/>
        <w:ind w:left="120"/>
      </w:pPr>
      <w:r>
        <w:rPr>
          <w:color w:val="333333"/>
        </w:rPr>
        <w:t>People</w:t>
      </w:r>
      <w:r>
        <w:rPr>
          <w:color w:val="333333"/>
          <w:spacing w:val="23"/>
        </w:rPr>
        <w:t> </w:t>
      </w:r>
      <w:r>
        <w:rPr>
          <w:color w:val="333333"/>
        </w:rPr>
        <w:t>who</w:t>
      </w:r>
      <w:r>
        <w:rPr>
          <w:color w:val="333333"/>
          <w:spacing w:val="23"/>
        </w:rPr>
        <w:t> </w:t>
      </w:r>
      <w:r>
        <w:rPr>
          <w:color w:val="333333"/>
        </w:rPr>
        <w:t>eat</w:t>
      </w:r>
      <w:r>
        <w:rPr>
          <w:color w:val="333333"/>
          <w:spacing w:val="23"/>
        </w:rPr>
        <w:t> </w:t>
      </w:r>
      <w:r>
        <w:rPr>
          <w:color w:val="333333"/>
        </w:rPr>
        <w:t>large</w:t>
      </w:r>
      <w:r>
        <w:rPr>
          <w:color w:val="333333"/>
          <w:spacing w:val="23"/>
        </w:rPr>
        <w:t> </w:t>
      </w:r>
      <w:r>
        <w:rPr>
          <w:color w:val="333333"/>
        </w:rPr>
        <w:t>amounts</w:t>
      </w:r>
      <w:r>
        <w:rPr>
          <w:color w:val="333333"/>
          <w:spacing w:val="23"/>
        </w:rPr>
        <w:t> </w:t>
      </w:r>
      <w:r>
        <w:rPr>
          <w:color w:val="333333"/>
        </w:rPr>
        <w:t>of</w:t>
      </w:r>
      <w:r>
        <w:rPr>
          <w:color w:val="333333"/>
          <w:spacing w:val="23"/>
        </w:rPr>
        <w:t> </w:t>
      </w:r>
      <w:r>
        <w:rPr>
          <w:color w:val="333333"/>
        </w:rPr>
        <w:t>ultra-processed</w:t>
      </w:r>
      <w:r>
        <w:rPr>
          <w:color w:val="333333"/>
          <w:spacing w:val="23"/>
        </w:rPr>
        <w:t> </w:t>
      </w:r>
      <w:r>
        <w:rPr>
          <w:color w:val="333333"/>
        </w:rPr>
        <w:t>foods</w:t>
      </w:r>
      <w:r>
        <w:rPr>
          <w:color w:val="333333"/>
          <w:spacing w:val="23"/>
        </w:rPr>
        <w:t> </w:t>
      </w:r>
      <w:r>
        <w:rPr>
          <w:color w:val="333333"/>
        </w:rPr>
        <w:t>face</w:t>
      </w:r>
      <w:r>
        <w:rPr>
          <w:color w:val="333333"/>
          <w:spacing w:val="23"/>
        </w:rPr>
        <w:t> </w:t>
      </w:r>
      <w:r>
        <w:rPr>
          <w:color w:val="333333"/>
        </w:rPr>
        <w:t>a</w:t>
      </w:r>
      <w:r>
        <w:rPr>
          <w:color w:val="333333"/>
          <w:spacing w:val="23"/>
        </w:rPr>
        <w:t> </w:t>
      </w:r>
      <w:r>
        <w:rPr>
          <w:color w:val="333333"/>
        </w:rPr>
        <w:t>significantly</w:t>
      </w:r>
      <w:r>
        <w:rPr>
          <w:color w:val="333333"/>
          <w:spacing w:val="23"/>
        </w:rPr>
        <w:t> </w:t>
      </w:r>
      <w:r>
        <w:rPr>
          <w:color w:val="333333"/>
        </w:rPr>
        <w:t>higher</w:t>
      </w:r>
      <w:r>
        <w:rPr>
          <w:color w:val="333333"/>
          <w:spacing w:val="23"/>
        </w:rPr>
        <w:t> </w:t>
      </w:r>
      <w:r>
        <w:rPr>
          <w:color w:val="333333"/>
        </w:rPr>
        <w:t>risk</w:t>
      </w:r>
      <w:r>
        <w:rPr>
          <w:color w:val="333333"/>
          <w:spacing w:val="23"/>
        </w:rPr>
        <w:t> </w:t>
      </w:r>
      <w:r>
        <w:rPr>
          <w:color w:val="333333"/>
        </w:rPr>
        <w:t>of</w:t>
      </w:r>
      <w:r>
        <w:rPr>
          <w:color w:val="333333"/>
          <w:spacing w:val="23"/>
        </w:rPr>
        <w:t> </w:t>
      </w:r>
      <w:r>
        <w:rPr>
          <w:color w:val="333333"/>
        </w:rPr>
        <w:t>premature death, according to research spanning 20 countries.</w:t>
      </w:r>
    </w:p>
    <w:p>
      <w:pPr>
        <w:pStyle w:val="BodyText"/>
        <w:spacing w:after="0" w:line="312" w:lineRule="auto"/>
        <w:sectPr>
          <w:pgSz w:w="12240" w:h="15840"/>
          <w:pgMar w:top="1500" w:bottom="280" w:left="1440" w:right="1440"/>
        </w:sectPr>
      </w:pPr>
    </w:p>
    <w:p>
      <w:pPr>
        <w:pStyle w:val="BodyText"/>
        <w:ind w:right="-58"/>
      </w:pPr>
      <w:r>
        <w:rPr/>
        <mc:AlternateContent>
          <mc:Choice Requires="wps">
            <w:drawing>
              <wp:inline distT="0" distB="0" distL="0" distR="0">
                <wp:extent cx="5943600" cy="35560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D35400"/>
                        </a:solidFill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2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ADDITIONAL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VISUALS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8pt;mso-position-horizontal-relative:char;mso-position-vertical-relative:line" type="#_x0000_t202" id="docshape9" filled="true" fillcolor="#d35400" stroked="false">
                <w10:anchorlock/>
                <v:textbox inset="0,0,0,0">
                  <w:txbxContent>
                    <w:p>
                      <w:pPr>
                        <w:spacing w:before="171"/>
                        <w:ind w:left="12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ADDITIONAL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VISUALS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8"/>
        <w:rPr>
          <w:sz w:val="16"/>
        </w:rPr>
      </w:pPr>
    </w:p>
    <w:p>
      <w:pPr>
        <w:spacing w:before="0"/>
        <w:ind w:left="120" w:right="12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-2292278</wp:posOffset>
            </wp:positionV>
            <wp:extent cx="5943600" cy="22860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sz w:val="1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914400</wp:posOffset>
            </wp:positionH>
            <wp:positionV relativeFrom="paragraph">
              <wp:posOffset>285821</wp:posOffset>
            </wp:positionV>
            <wp:extent cx="5943600" cy="22860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777777"/>
          <w:sz w:val="16"/>
        </w:rPr>
        <w:t>Image: Mental Health and Exercise: What's the Connection? — Mayo Clinic </w:t>
      </w:r>
      <w:r>
        <w:rPr>
          <w:rFonts w:ascii="Arial" w:hAnsi="Arial"/>
          <w:i/>
          <w:color w:val="777777"/>
          <w:spacing w:val="-2"/>
          <w:sz w:val="16"/>
        </w:rPr>
        <w:t>Staff</w:t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2"/>
        <w:rPr>
          <w:rFonts w:ascii="Arial"/>
          <w:i/>
          <w:sz w:val="16"/>
        </w:rPr>
      </w:pPr>
    </w:p>
    <w:p>
      <w:pPr>
        <w:spacing w:before="0"/>
        <w:ind w:left="120" w:right="12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777777"/>
          <w:sz w:val="16"/>
        </w:rPr>
        <w:t>Image: Ultra-processed foods linked to early death, major study finds — BBC </w:t>
      </w:r>
      <w:r>
        <w:rPr>
          <w:rFonts w:ascii="Arial" w:hAnsi="Arial"/>
          <w:i/>
          <w:color w:val="777777"/>
          <w:spacing w:val="-2"/>
          <w:sz w:val="16"/>
        </w:rPr>
        <w:t>Health</w:t>
      </w:r>
    </w:p>
    <w:sectPr>
      <w:pgSz w:w="12240" w:h="15840"/>
      <w:pgMar w:top="15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0" w:right="120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2026-03-25T11:10:14Z</dcterms:created>
  <dcterms:modified xsi:type="dcterms:W3CDTF">2026-03-25T11:10:14Z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2026-03-25T00:00:00Z</vt:filetime>
  </property>
  <property fmtid="{D5CDD505-2E9C-101B-9397-08002B2CF9AE}" pid="5" name="Producer">
    <vt:lpwstr>ReportLab PDF Library - (opensource)</vt:lpwstr>
  </property>
</Properties>
</file>