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6"/>
        </w:rPr>
        <w:t>PART E — WRITTEN JUSTIFICATION</w:t>
      </w:r>
    </w:p>
    <w:p>
      <w:r>
        <w:rPr>
          <w:b/>
        </w:rPr>
        <w:t xml:space="preserve">Dataset and scope. </w:t>
      </w:r>
      <w:r>
        <w:t>The supplied vitals_10k.csv contains 10,000 synthetic patient records. This is a descriptive safety-review figure, not a diagnostic tool; correlations do not establish causation.</w:t>
      </w:r>
    </w:p>
    <w:p>
      <w:r>
        <w:rPr>
          <w:b/>
        </w:rPr>
        <w:t xml:space="preserve">Panel rationale and Week 2 channel rules. </w:t>
      </w:r>
      <w:r>
        <w:t>1) The length-of-stay histogram asks whether LOS is normally distributed. A histogram suits a continuous variable; equal 1-day bins make frequencies comparable, while the 99th-percentile display cap prevents the extreme tail from compressing the main distribution. The cap is disclosed on the axis and is for display only. 2) The ward-wise BMI box plot asks whether typical BMI and spread differ by ward. Position (median) and length (IQR) carry the comparison; ward colours are redundant cues, not the only way to identify groups, and invalid BMI values are missing rather than plotted. 3) The systolic-versus-diastolic scatter asks whether the two blood-pressure measures co-vary. Position on common quantitative axes shows the relationship; the fitted line is a visual guide. Pearson r = 0.89. 4) The annotated Pearson-correlation heatmap asks which numeric variables have the strongest linear associations. A diverging scale is centred at zero, the range is fixed at −1 to +1, and printed coefficients supplement colour so interpretation does not depend on colour alone.</w:t>
      </w:r>
    </w:p>
    <w:p>
      <w:r>
        <w:rPr>
          <w:b/>
        </w:rPr>
        <w:t xml:space="preserve">Parameters and defence. </w:t>
      </w:r>
      <w:r>
        <w:t>Figure size is 15 × 11 inches for readable four-panel layout; constrained_layout reduces overlap. LOS bin width = 1 day; values above the 99th percentile (10.251 days) are capped only in the histogram display, not deleted from the dataset. The box plot orders wards consistently and should show outliers (do not use showfliers=False), because hiding points can conceal anomalies. Scatter markers use size 18 and alpha 0.35 to reduce overplotting; the regression line has width 2 and no confidence band (ci=None) to keep the panel legible. The heatmap uses Pearson r, vmin = −1, vmax = +1, centre = 0, two-decimal annotations, square cells, and 0.5-width grid lines. Axis labels include units; spines are removed; a colour-blind-conscious palette is used, with labels and numeric annotations as additional cues. Save with fig.savefig(..., dpi=300, bbox_inches="tight") before plt.show().</w:t>
      </w:r>
    </w:p>
    <w:p>
      <w:r>
        <w:rPr>
          <w:b/>
        </w:rPr>
        <w:t xml:space="preserve">Cleaning audit and movement of values. </w:t>
      </w:r>
      <w:r>
        <w:t>No complete patient rows were deleted; invalid measurements were set to missing for the relevant analyses. Ward labels were standardised: General Medicine 4,018; Cardiology 2,682; Intensive Care 1,821; Day Surgery 1,479. Mixed-format admission dates parsed successfully (0 failures). BMI values equal to 999 or ≤0 were marked invalid (486 records); the BMI mean changed from 66.18 to 27.35 kg/m² among valid values. Heart rates ≤0 were separately flagged (8 records).</w:t>
      </w:r>
    </w:p>
    <w:p>
      <w:r>
        <w:rPr>
          <w:b/>
        </w:rPr>
        <w:t xml:space="preserve">Heart-rate ethics statement. </w:t>
      </w:r>
      <w:r>
        <w:t>Readings above 250 bpm were removed from heart-rate analysis as device faults (n = 29). Mean heart rate moves from 78.83 to 77.98 bpm after this exclusion. The unexcluded heart-rate distribution is provided in the companion appendix figure, with all readings visible and the 250-bpm review threshold marked. This rule would be applied regardless of whether removing the readings strengthened or weakened the conclusion; outliers must not be hidden with showfliers=False.</w:t>
      </w:r>
    </w:p>
    <w:p>
      <w:r>
        <w:rPr>
          <w:b/>
        </w:rPr>
        <w:t xml:space="preserve">Source note. </w:t>
      </w:r>
      <w:r>
        <w:t>Source: supplied Week 3 teaching dataset, vitals_10k.csv; synthetic records. Cleaning counts and summary values are calculated from the supplied file.</w:t>
      </w:r>
    </w:p>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