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500"/>
        <w:jc w:val="center"/>
      </w:pPr>
      <w:r>
        <w:rPr>
          <w:rFonts w:ascii="Times New Roman" w:cs="Times New Roman" w:eastAsia="Times New Roman" w:hAnsi="Times New Roman"/>
          <w:b/>
          <w:bCs/>
          <w:color w:val="1F3864"/>
          <w:sz w:val="34"/>
          <w:szCs w:val="34"/>
        </w:rPr>
        <w:t xml:space="preserve">Phase 4 — Modélisation</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phase de modélisation correspond à la Phase IV du cadre CPMAI (Model Development) et à la quatrième étape du processus CRISP-DM. L'objectif est d'entraîner et de comparer plusieurs algorithmes de classification binaire afin d'estimer la probabilité de défaut (PD) d'un dossier BNPL, tout en respectant les contraintes métier imposées par le contexte bancaire tunisien.</w:t>
      </w:r>
    </w:p>
    <w:p>
      <w:pPr>
        <w:shd w:fill="EEF6FF" w:val="clear"/>
        <w:spacing w:after="180" w:before="180" w:line="360"/>
        <w:jc w:val="both"/>
      </w:pPr>
      <w:r>
        <w:rPr>
          <w:rFonts w:ascii="Times New Roman" w:cs="Times New Roman" w:eastAsia="Times New Roman" w:hAnsi="Times New Roman"/>
          <w:b/>
          <w:bCs/>
          <w:color w:val="1F3864"/>
          <w:sz w:val="24"/>
          <w:szCs w:val="24"/>
        </w:rPr>
        <w:t xml:space="preserve">💡 Objectif métier — </w:t>
      </w:r>
      <w:r>
        <w:rPr>
          <w:rFonts w:ascii="Times New Roman" w:cs="Times New Roman" w:eastAsia="Times New Roman" w:hAnsi="Times New Roman"/>
          <w:color w:val="333333"/>
          <w:sz w:val="24"/>
          <w:szCs w:val="24"/>
        </w:rPr>
        <w:t xml:space="preserve">Le modèle ne remplace pas l'analyste crédit : il produit un pré-score (0–1000) et une zone de risque pour orienter l'instruction du dossier.</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4.1 Partitionnement des données</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Avant tout entraînement, le jeu de données Home Credit (270 000 dossiers) a été divisé en trois sous-ensembles disjoints. Cette séparation garantit que le modèle final est évalué sur des dossiers qu'il n'a jamais vus pendant l'apprentissage, ce qui évite le surapprentissage et donne une mesure honnête des performances.</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Partition</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Proportion</w:t>
            </w:r>
          </w:p>
        </w:tc>
        <w:tc>
          <w:tcPr>
            <w:tcW w:type="dxa" w:w="40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Rôle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Entraînement (train)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70 %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Apprentissage des paramètres du modèle</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Validation (val)</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15 %</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Optimisation du seuil et early stopping</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Test (test)</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15 %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Évaluation finale indépendante</w:t>
            </w:r>
          </w:p>
        </w:tc>
      </w:tr>
    </w:tbl>
    <w:p>
      <w:pPr>
        <w:spacing w:after="80" w:before="0"/>
      </w:pPr>
      <w:r>
        <w:rPr>
          <w:rFonts w:ascii="Times New Roman" w:cs="Times New Roman" w:eastAsia="Times New Roman" w:hAnsi="Times New Roman"/>
          <w:sz w:val="24"/>
          <w:szCs w:val="24"/>
        </w:rPr>
        <w:t xml:space="preserve"/>
      </w:r>
    </w:p>
    <w:p>
      <w:pPr>
        <w:shd w:fill="EEF6FF" w:val="clear"/>
        <w:spacing w:after="180" w:before="180" w:line="360"/>
        <w:jc w:val="both"/>
      </w:pPr>
      <w:r>
        <w:rPr>
          <w:rFonts w:ascii="Times New Roman" w:cs="Times New Roman" w:eastAsia="Times New Roman" w:hAnsi="Times New Roman"/>
          <w:b/>
          <w:bCs/>
          <w:color w:val="C62828"/>
          <w:sz w:val="24"/>
          <w:szCs w:val="24"/>
        </w:rPr>
        <w:t xml:space="preserve">⚠️ Bonnes pratiques — </w:t>
      </w:r>
      <w:r>
        <w:rPr>
          <w:rFonts w:ascii="Times New Roman" w:cs="Times New Roman" w:eastAsia="Times New Roman" w:hAnsi="Times New Roman"/>
          <w:color w:val="333333"/>
          <w:sz w:val="24"/>
          <w:szCs w:val="24"/>
        </w:rPr>
        <w:t xml:space="preserve">Le jeu de test (15 %) n'est consulté qu'une seule fois, à la fin, pour valider le modèle retenu. Toute optimisation de seuil ou d'hyperparamètres s'effectue exclusivement sur le jeu de validation.</w:t>
      </w:r>
    </w:p>
    <w:p>
      <w:pPr>
        <w:pStyle w:val="Heading2"/>
        <w:spacing w:after="180" w:before="380"/>
      </w:pPr>
      <w:r>
        <w:rPr>
          <w:rFonts w:ascii="Times New Roman" w:cs="Times New Roman" w:eastAsia="Times New Roman" w:hAnsi="Times New Roman"/>
          <w:b/>
          <w:bCs/>
          <w:color w:val="1F3864"/>
          <w:sz w:val="28"/>
          <w:szCs w:val="28"/>
        </w:rPr>
        <w:t xml:space="preserve">4.2 Comparaison des trois algorithmes candidats</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Trois familles d'algorithmes ont été testées sur les mêmes variables d'entrée (32 features engineering) et les mêmes partitions train/validation/test. La métrique principale de comparaison est l'AUC-ROC, complétée par le F1-score sur la classe défaut (classe minoritaire à 15 %).</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28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Modèle</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AUC-ROC</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F1 (défaut)</w:t>
            </w:r>
          </w:p>
        </w:tc>
        <w:tc>
          <w:tcPr>
            <w:tcW w:type="dxa" w:w="28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Retenu ?</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Régression logistique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0,6500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0,19</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Performances insuffisantes</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XGBoost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0,7966</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0,44</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Absence de contraintes métier</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LightGBM</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0,8222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0,49</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Meilleur sur tous les critères</w:t>
            </w:r>
          </w:p>
        </w:tc>
      </w:tr>
    </w:tbl>
    <w:p>
      <w:pPr>
        <w:spacing w:after="80" w:before="0"/>
      </w:pPr>
      <w:r>
        <w:rPr>
          <w:rFonts w:ascii="Times New Roman" w:cs="Times New Roman" w:eastAsia="Times New Roman" w:hAnsi="Times New Roman"/>
          <w:sz w:val="24"/>
          <w:szCs w:val="24"/>
        </w:rPr>
        <w:t xml:space="preserve"/>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régression logistique sert de baseline interprétable mais peine à capturer les interactions non linéaires entre variables. XGBoost améliore nettement la discrimination (AUC 0,7966) mais ne permet pas d'imposer des contraintes monotones compatibles avec la réglementation bancaire. LightGBM combine la puissance des arbres de gradient boosting avec le support natif des contraintes métier, ce qui explique son choix final.</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4.3 Régression logistique — baseline</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régression logistique modélise la probabilité de défaut par une combinaison linéaire pondérée des variables, transformée par la fonction sigmoïde. Elle est transparente et rapide à entraîner, mais suppose l'indépendance des effets marginaux.</w:t>
      </w:r>
    </w:p>
    <w:p>
      <w:pPr>
        <w:shd w:fill="EEF2F7" w:val="clear"/>
        <w:spacing w:after="120" w:before="120" w:line="360"/>
        <w:jc w:val="center"/>
      </w:pPr>
      <w:r>
        <w:rPr>
          <w:rFonts w:ascii="Courier New" w:cs="Courier New" w:eastAsia="Courier New" w:hAnsi="Courier New"/>
          <w:b/>
          <w:bCs/>
          <w:color w:val="1F3864"/>
          <w:sz w:val="22"/>
          <w:szCs w:val="22"/>
        </w:rPr>
        <w:t xml:space="preserve">P(défaut) = 1 / (1 + e^(−(β₀ + β₁x₁ + β₂x₂ + … + βₙxₙ)))</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Résultat : AUC-ROC = 0,6500 et F1 défaut = 0,19. Performances insuffisantes pour un déploiement en production — le modèle se rapproche trop du hasard sur les cas complexes (CDD récent + charges élevées).</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4.4 XGBoost — gradient boosting</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XGBoost construit une séquence d'arbres de décision où chaque arbre corrige les erreurs résiduelles du précédent. Cette approche capture les interactions entre variables (ex. faible ancienneté × mensualité élevée) et atteint une AUC de 0,7966 avec un F1 de 0,44.</w:t>
      </w:r>
    </w:p>
    <w:p>
      <w:pPr>
        <w:spacing w:after="220" w:before="60" w:line="360"/>
        <w:jc w:val="center"/>
      </w:pPr>
      <w:r>
        <w:rPr>
          <w:rFonts w:ascii="Times New Roman" w:cs="Times New Roman" w:eastAsia="Times New Roman" w:hAnsi="Times New Roman"/>
          <w:i/>
          <w:iCs/>
          <w:color w:val="555555"/>
          <w:sz w:val="20"/>
          <w:szCs w:val="20"/>
        </w:rPr>
        <w:t xml:space="preserve">[Figure : modele2_xgboost_simple.png — copier le PNG dans le dossier figures/]</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Limitation critique : l'absence de contraintes monotones empêche de garantir qu'une augmentation du taux d'endettement entraîne systématiquement une hausse du score de risque. Ce point est rédhibitoire dans un contexte d'audit bancaire.</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4.5 LightGBM — modèle retenu</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LightGBM adopte une stratégie leaf-wise (développement de l'embranchement le plus informatif en priorité), ce qui accélère l'entraînement tout en améliorant la précision. Il atteint la meilleure AUC (0,8222) et le meilleur F1 défaut (0,49) tout en acceptant des contraintes monotones explicites.</w:t>
      </w:r>
    </w:p>
    <w:p>
      <w:pPr>
        <w:spacing w:after="220" w:before="60" w:line="360"/>
        <w:jc w:val="center"/>
      </w:pPr>
      <w:r>
        <w:rPr>
          <w:rFonts w:ascii="Times New Roman" w:cs="Times New Roman" w:eastAsia="Times New Roman" w:hAnsi="Times New Roman"/>
          <w:i/>
          <w:iCs/>
          <w:color w:val="555555"/>
          <w:sz w:val="20"/>
          <w:szCs w:val="20"/>
        </w:rPr>
        <w:t xml:space="preserve">[Figure : modele3_lightgbm_simple.png — copier le PNG dans le dossier figures/]</w:t>
      </w:r>
    </w:p>
    <w:p>
      <w:pPr>
        <w:pStyle w:val="Heading3"/>
        <w:spacing w:after="140" w:before="260"/>
      </w:pPr>
      <w:r>
        <w:rPr>
          <w:rFonts w:ascii="Times New Roman" w:cs="Times New Roman" w:eastAsia="Times New Roman" w:hAnsi="Times New Roman"/>
          <w:b/>
          <w:bCs/>
          <w:i/>
          <w:iCs/>
          <w:color w:val="2E4057"/>
          <w:sz w:val="26"/>
          <w:szCs w:val="26"/>
        </w:rPr>
        <w:t xml:space="preserve">4.5.1 Hyperparamètres retenus</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Les hyperparamètres ont été optimisés par recherche sur grille avec early stopping sur le jeu de validation (100 rounds sans amélioration).</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Paramètre</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Valeur retenue</w:t>
            </w:r>
          </w:p>
        </w:tc>
        <w:tc>
          <w:tcPr>
            <w:tcW w:type="dxa" w:w="47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Signification concrète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n_estimators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2 500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Le modèle construit 2 500 arbres de décision successifs</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learning_rate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0,02</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Apprentissage progressif et prudent pour éviter le surapprentissage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num_leaves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63</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Complexité maximale de chaque arbre (63 embranchements)</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subsample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Chaque arbre ne voit que 80 % des données, renforçant la robustesse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colsample_bytree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Chaque arbre utilise 80 % des variables disponibles</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reg_alpha</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Régularisation L1 — limite la complexité du modèle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reg_lambda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Régularisation L2 — pénalise les poids excessifs</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scale_pos_weight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auto</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Pondération renforcée de la classe défaut (rare)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early_stopping</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Arrêt automatique si aucune amélioration sur 100 itérations</w:t>
            </w:r>
          </w:p>
        </w:tc>
      </w:tr>
    </w:tbl>
    <w:p>
      <w:pPr>
        <w:spacing w:after="80" w:before="0"/>
      </w:pPr>
      <w:r>
        <w:rPr>
          <w:rFonts w:ascii="Times New Roman" w:cs="Times New Roman" w:eastAsia="Times New Roman" w:hAnsi="Times New Roman"/>
          <w:sz w:val="24"/>
          <w:szCs w:val="24"/>
        </w:rPr>
        <w:t xml:space="preserve"/>
      </w:r>
    </w:p>
    <w:p>
      <w:pPr>
        <w:pStyle w:val="Heading3"/>
        <w:spacing w:after="140" w:before="260"/>
      </w:pPr>
      <w:r>
        <w:rPr>
          <w:rFonts w:ascii="Times New Roman" w:cs="Times New Roman" w:eastAsia="Times New Roman" w:hAnsi="Times New Roman"/>
          <w:b/>
          <w:bCs/>
          <w:i/>
          <w:iCs/>
          <w:color w:val="2E4057"/>
          <w:sz w:val="26"/>
          <w:szCs w:val="26"/>
        </w:rPr>
        <w:t xml:space="preserve">4.5.2 Contraintes monotones métier</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Huit variables clés ont reçu une contrainte de monotonie imposée à l'algorithme. Le modèle ne peut physiquement pas produire un score contradictoire avec la logique métier (ex. reste à vivre élevé → risque plus faible).</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26"/>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Variable</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Direction imposée</w:t>
            </w:r>
          </w:p>
        </w:tc>
        <w:tc>
          <w:tcPr>
            <w:tcW w:type="dxa" w:w="42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Logique métier</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Taux d'endettement global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augmente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Plus on est endetté, plus le risque de défaut est élevé</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Reste à vivre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diminue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Un reste à vivre confortable protège contre les imprévus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Buffer financier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diminue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Une marge résiduelle positive réduit le risque de défaut</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Capacité nette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diminue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Une capacité de remboursement positive est rassurante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Mensualité BNPL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augmente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Une mensualité élevée pèse sur la capacité de remboursement</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Score de risque combiné</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augmente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Ce score agrège tous les signaux négatifs du dossier</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CDD inversé (ancienneté)</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augmente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Un CDD récent est le signal de risque le plus fort</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CDD &lt; 6 mois (flag)</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augmente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Contrat précaire très récent — signal critique (poids 20)</w:t>
            </w:r>
          </w:p>
        </w:tc>
      </w:tr>
    </w:tbl>
    <w:p>
      <w:pPr>
        <w:spacing w:after="80" w:before="0"/>
      </w:pPr>
      <w:r>
        <w:rPr>
          <w:rFonts w:ascii="Times New Roman" w:cs="Times New Roman" w:eastAsia="Times New Roman" w:hAnsi="Times New Roman"/>
          <w:sz w:val="24"/>
          <w:szCs w:val="24"/>
        </w:rPr>
        <w:t xml:space="preserve"/>
      </w:r>
    </w:p>
    <w:p>
      <w:pPr>
        <w:shd w:fill="EEF6FF" w:val="clear"/>
        <w:spacing w:after="180" w:before="180" w:line="360"/>
        <w:jc w:val="both"/>
      </w:pPr>
      <w:r>
        <w:rPr>
          <w:rFonts w:ascii="Times New Roman" w:cs="Times New Roman" w:eastAsia="Times New Roman" w:hAnsi="Times New Roman"/>
          <w:b/>
          <w:bCs/>
          <w:color w:val="1F3864"/>
          <w:sz w:val="24"/>
          <w:szCs w:val="24"/>
        </w:rPr>
        <w:t xml:space="preserve">💡 Avantage réglementaire — </w:t>
      </w:r>
      <w:r>
        <w:rPr>
          <w:rFonts w:ascii="Times New Roman" w:cs="Times New Roman" w:eastAsia="Times New Roman" w:hAnsi="Times New Roman"/>
          <w:color w:val="333333"/>
          <w:sz w:val="24"/>
          <w:szCs w:val="24"/>
        </w:rPr>
        <w:t xml:space="preserve">Les contraintes monotones facilitent l'explicabilité auprès des auditeurs : la direction de l'effet de chaque variable est garantie par construction, indépendamment des données d'entraînement.</w:t>
      </w:r>
    </w:p>
    <w:p>
      <w:pPr>
        <w:pStyle w:val="Heading3"/>
        <w:spacing w:after="140" w:before="260"/>
      </w:pPr>
      <w:r>
        <w:rPr>
          <w:rFonts w:ascii="Times New Roman" w:cs="Times New Roman" w:eastAsia="Times New Roman" w:hAnsi="Times New Roman"/>
          <w:b/>
          <w:bCs/>
          <w:i/>
          <w:iCs/>
          <w:color w:val="2E4057"/>
          <w:sz w:val="26"/>
          <w:szCs w:val="26"/>
        </w:rPr>
        <w:t xml:space="preserve">4.5.3 Calibration isotonique et seuil opérationnel</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Une calibration isotonique post-entraînement corrige le biais des probabilités brutes pour qu'elles reflètent les taux de défaut observés. Le seuil de décision binaire n'est pas fixé à 50 % (inadapté aux classes déséquilibrées) mais optimisé sur le jeu de validation : 22,8 % de probabilité de défaut.</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Tout dossier dont la PD calibrée dépasse 22,8 % est signalé comme « défaut probable » et transmis à l'analyste pour instruction approfondie.</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4.6 Synthèse de la décision modèle</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 tableau suivant résume la grille multicritère utilisée pour trancher entre les trois candidats. LightGBM est retenu sur l'ensemble des dimensions, avec un avantage décisif sur les contraintes métier monotones.</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800"/>
        <w:gridCol w:w="1800"/>
        <w:gridCol w:w="16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Critère</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Poids</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Régression log.</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XGBoost</w:t>
            </w:r>
          </w:p>
        </w:tc>
        <w:tc>
          <w:tcPr>
            <w:tcW w:type="dxa" w:w="16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LightGBM</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AUC-ROC (critère principal)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0,65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0,7966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0,8222 ✅✅</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Recall défaut (critère métier)</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0,68 ✅</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0,74 ✅✅</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0,60 ✅</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F1-score (équilibre)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0,19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0,44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0,49 ✅✅</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Contraintes métier monotones</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Impossible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Impossible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Natif</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Vitesse d'inférence API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Rapide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Rapide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Très rapide</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Verdict final</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Écarté</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Écarté</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RETENU</w:t>
            </w:r>
          </w:p>
        </w:tc>
      </w:tr>
    </w:tbl>
    <w:p>
      <w:pPr>
        <w:spacing w:after="80" w:before="0"/>
      </w:pPr>
      <w:r>
        <w:rPr>
          <w:rFonts w:ascii="Times New Roman" w:cs="Times New Roman" w:eastAsia="Times New Roman" w:hAnsi="Times New Roman"/>
          <w:sz w:val="24"/>
          <w:szCs w:val="24"/>
        </w:rPr>
        <w:t xml:space="preserve"/>
      </w:r>
    </w:p>
    <w:p>
      <w:r>
        <w:br w:type="page"/>
      </w:r>
    </w:p>
    <w:p>
      <w:pPr>
        <w:spacing w:after="300" w:before="500"/>
        <w:jc w:val="center"/>
      </w:pPr>
      <w:r>
        <w:rPr>
          <w:rFonts w:ascii="Times New Roman" w:cs="Times New Roman" w:eastAsia="Times New Roman" w:hAnsi="Times New Roman"/>
          <w:b/>
          <w:bCs/>
          <w:color w:val="1F3864"/>
          <w:sz w:val="34"/>
          <w:szCs w:val="34"/>
        </w:rPr>
        <w:t xml:space="preserve">Phase 5 — Évaluation</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phase d'évaluation correspond à la Phase V CPMAI (Model Evaluation) et à la cinquième étape CRISP-DM. Elle mesure la capacité du modèle LightGBM retenu à discriminer les bons payeurs des défaillants, sur le jeu de test indépendant (40 643 dossiers, dont 6 102 défauts réels).</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5.1 Métriques fondamentales de classification</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Avant d'interpréter les chiffres, il est essentiel de définir le vocabulaire de la matrice de confusion appliquée au risque crédit BNPL.</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Terme</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Abréviation</w:t>
            </w:r>
          </w:p>
        </w:tc>
        <w:tc>
          <w:tcPr>
            <w:tcW w:type="dxa" w:w="55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Signification concrète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Vrai Positif</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VP</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Le modèle prédit « défaut » → le client fait effectivement défaut ✅</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Vrai Négatif</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VN</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Le modèle prédit « non-défaut » → le client rembourse bien ✅</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Faux Positif</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FP</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Le modèle prédit « défaut » → le client rembourse bien (fausse alerte) ⚠️</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Faux Négatif</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FN</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Le modèle prédit « non-défaut » → le client fait défaut (erreur grave) ❌</w:t>
            </w:r>
          </w:p>
        </w:tc>
      </w:tr>
    </w:tbl>
    <w:p>
      <w:pPr>
        <w:spacing w:after="80" w:before="0"/>
      </w:pPr>
      <w:r>
        <w:rPr>
          <w:rFonts w:ascii="Times New Roman" w:cs="Times New Roman" w:eastAsia="Times New Roman" w:hAnsi="Times New Roman"/>
          <w:sz w:val="24"/>
          <w:szCs w:val="24"/>
        </w:rPr>
        <w:t xml:space="preserve"/>
      </w:r>
    </w:p>
    <w:p>
      <w:pPr>
        <w:shd w:fill="EEF6FF" w:val="clear"/>
        <w:spacing w:after="180" w:before="180" w:line="360"/>
        <w:jc w:val="both"/>
      </w:pPr>
      <w:r>
        <w:rPr>
          <w:rFonts w:ascii="Times New Roman" w:cs="Times New Roman" w:eastAsia="Times New Roman" w:hAnsi="Times New Roman"/>
          <w:b/>
          <w:bCs/>
          <w:color w:val="1F3864"/>
          <w:sz w:val="24"/>
          <w:szCs w:val="24"/>
        </w:rPr>
        <w:t xml:space="preserve">💡 Lecture métier — </w:t>
      </w:r>
      <w:r>
        <w:rPr>
          <w:rFonts w:ascii="Times New Roman" w:cs="Times New Roman" w:eastAsia="Times New Roman" w:hAnsi="Times New Roman"/>
          <w:color w:val="333333"/>
          <w:sz w:val="24"/>
          <w:szCs w:val="24"/>
        </w:rPr>
        <w:t xml:space="preserve">En pré-scoring, les faux négatifs (FN) sont les plus coûteux : ce sont des défauts réels non détectés. Les faux positifs (FP) génèrent un surcoût d'analyse humaine mais restent préférables à des FN.</w:t>
      </w:r>
    </w:p>
    <w:p>
      <w:pPr>
        <w:pStyle w:val="Heading2"/>
        <w:spacing w:after="180" w:before="380"/>
      </w:pPr>
      <w:r>
        <w:rPr>
          <w:rFonts w:ascii="Times New Roman" w:cs="Times New Roman" w:eastAsia="Times New Roman" w:hAnsi="Times New Roman"/>
          <w:b/>
          <w:bCs/>
          <w:color w:val="1F3864"/>
          <w:sz w:val="28"/>
          <w:szCs w:val="28"/>
        </w:rPr>
        <w:t xml:space="preserve">5.2 Discrimination — AUC-ROC</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L'AUC-ROC mesure la probabilité que le modèle classe correctement un couple (défaut, non-défaut) tiré au hasard. Une AUC de 0,8222 signifie que dans 82,22 % des cas, le modèle attribue un score plus élevé au client réellement en défaut.</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Modèle</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AUC-ROC</w:t>
            </w:r>
          </w:p>
        </w:tc>
        <w:tc>
          <w:tcPr>
            <w:tcW w:type="dxa" w:w="38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Interprétation</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Régression logistique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0,6500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Discrimination faible — proche du hasard</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XGBoost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0,7966</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Bonne discrimination — 79,66 % des paires bien classées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LightGBM (retenu)</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0,8222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Meilleure discrimination — 82,22 % des paires bien classées</w:t>
            </w:r>
          </w:p>
        </w:tc>
      </w:tr>
    </w:tbl>
    <w:p>
      <w:pPr>
        <w:spacing w:after="80" w:before="0"/>
      </w:pPr>
      <w:r>
        <w:rPr>
          <w:rFonts w:ascii="Times New Roman" w:cs="Times New Roman" w:eastAsia="Times New Roman" w:hAnsi="Times New Roman"/>
          <w:sz w:val="24"/>
          <w:szCs w:val="24"/>
        </w:rPr>
        <w:t xml:space="preserve"/>
      </w:r>
    </w:p>
    <w:p>
      <w:pPr>
        <w:spacing w:after="220" w:before="60" w:line="360"/>
        <w:jc w:val="center"/>
      </w:pPr>
      <w:r>
        <w:rPr>
          <w:rFonts w:ascii="Times New Roman" w:cs="Times New Roman" w:eastAsia="Times New Roman" w:hAnsi="Times New Roman"/>
          <w:i/>
          <w:iCs/>
          <w:color w:val="555555"/>
          <w:sz w:val="20"/>
          <w:szCs w:val="20"/>
        </w:rPr>
        <w:t xml:space="preserve">[Figure : courbes_roc.png — copier le PNG dans le dossier figures/]</w:t>
      </w:r>
    </w:p>
    <w:p>
      <w:pPr>
        <w:spacing w:after="220" w:before="60" w:line="360"/>
        <w:jc w:val="center"/>
      </w:pPr>
      <w:r>
        <w:rPr>
          <w:rFonts w:ascii="Times New Roman" w:cs="Times New Roman" w:eastAsia="Times New Roman" w:hAnsi="Times New Roman"/>
          <w:i/>
          <w:iCs/>
          <w:color w:val="555555"/>
          <w:sz w:val="20"/>
          <w:szCs w:val="20"/>
        </w:rPr>
        <w:t xml:space="preserve">Figure — Courbes ROC des trois modèles. LightGBM domine sur toute la plage de seuils.</w:t>
      </w:r>
    </w:p>
    <w:p>
      <w:pPr>
        <w:spacing w:after="220" w:before="60" w:line="360"/>
        <w:jc w:val="center"/>
      </w:pPr>
      <w:r>
        <w:rPr>
          <w:rFonts w:ascii="Times New Roman" w:cs="Times New Roman" w:eastAsia="Times New Roman" w:hAnsi="Times New Roman"/>
          <w:i/>
          <w:iCs/>
          <w:color w:val="555555"/>
          <w:sz w:val="20"/>
          <w:szCs w:val="20"/>
        </w:rPr>
        <w:t xml:space="preserve">[Figure : comparaison_auc.png — copier le PNG dans le dossier figures/]</w:t>
      </w:r>
    </w:p>
    <w:p>
      <w:pPr>
        <w:spacing w:after="220" w:before="60" w:line="360"/>
        <w:jc w:val="center"/>
      </w:pPr>
      <w:r>
        <w:rPr>
          <w:rFonts w:ascii="Times New Roman" w:cs="Times New Roman" w:eastAsia="Times New Roman" w:hAnsi="Times New Roman"/>
          <w:i/>
          <w:iCs/>
          <w:color w:val="555555"/>
          <w:sz w:val="20"/>
          <w:szCs w:val="20"/>
        </w:rPr>
        <w:t xml:space="preserve">Figure — Comparaison visuelle des AUC-ROC.</w:t>
      </w:r>
    </w:p>
    <w:p>
      <w:pPr>
        <w:pStyle w:val="Heading2"/>
        <w:spacing w:after="180" w:before="380"/>
      </w:pPr>
      <w:r>
        <w:rPr>
          <w:rFonts w:ascii="Times New Roman" w:cs="Times New Roman" w:eastAsia="Times New Roman" w:hAnsi="Times New Roman"/>
          <w:b/>
          <w:bCs/>
          <w:color w:val="1F3864"/>
          <w:sz w:val="28"/>
          <w:szCs w:val="28"/>
        </w:rPr>
        <w:t xml:space="preserve">5.3 Sensibilité — Recall (rappel défaut)</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 recall mesure la proportion de vrais défauts détectés par le modèle. Un recall de 0,60 signifie que 60 % des 6 102 défauts du jeu de test sont identifiés avant qu'ils ne surviennent. Les 40 % restants seront filtrés par les règles métier complémentaires et l'analyse humaine.</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2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Modèle</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Recall (défaut)</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Défauts détectés</w:t>
            </w:r>
          </w:p>
        </w:tc>
        <w:tc>
          <w:tcPr>
            <w:tcW w:type="dxa" w:w="22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Défauts manqués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Régression logistique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0,68</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~4 149 / 6 102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~1 953 non détectés</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XGBoost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0,74</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~4 515 / 6 102</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~1 587 non détectés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LightGBM (retenu)</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~3 661 / 6 102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~2 441 non détectés</w:t>
            </w:r>
          </w:p>
        </w:tc>
      </w:tr>
    </w:tbl>
    <w:p>
      <w:pPr>
        <w:spacing w:after="80" w:before="0"/>
      </w:pPr>
      <w:r>
        <w:rPr>
          <w:rFonts w:ascii="Times New Roman" w:cs="Times New Roman" w:eastAsia="Times New Roman" w:hAnsi="Times New Roman"/>
          <w:sz w:val="24"/>
          <w:szCs w:val="24"/>
        </w:rPr>
        <w:t xml:space="preserve"/>
      </w:r>
    </w:p>
    <w:p>
      <w:pPr>
        <w:shd w:fill="EEF6FF" w:val="clear"/>
        <w:spacing w:after="180" w:before="180" w:line="360"/>
        <w:jc w:val="both"/>
      </w:pPr>
      <w:r>
        <w:rPr>
          <w:rFonts w:ascii="Times New Roman" w:cs="Times New Roman" w:eastAsia="Times New Roman" w:hAnsi="Times New Roman"/>
          <w:b/>
          <w:bCs/>
          <w:color w:val="C62828"/>
          <w:sz w:val="24"/>
          <w:szCs w:val="24"/>
        </w:rPr>
        <w:t xml:space="preserve">⚠️ Compromis recall / précision — </w:t>
      </w:r>
      <w:r>
        <w:rPr>
          <w:rFonts w:ascii="Times New Roman" w:cs="Times New Roman" w:eastAsia="Times New Roman" w:hAnsi="Times New Roman"/>
          <w:color w:val="333333"/>
          <w:sz w:val="24"/>
          <w:szCs w:val="24"/>
        </w:rPr>
        <w:t xml:space="preserve">LightGBM affiche un recall légèrement inférieur à XGBoost (0,60 vs 0,74) mais compense par une précision bien supérieure (0,41 vs 0,31), réduisant les fausses alertes pour l'analyste.</w:t>
      </w:r>
    </w:p>
    <w:p>
      <w:pPr>
        <w:pStyle w:val="Heading2"/>
        <w:spacing w:after="180" w:before="380"/>
      </w:pPr>
      <w:r>
        <w:rPr>
          <w:rFonts w:ascii="Times New Roman" w:cs="Times New Roman" w:eastAsia="Times New Roman" w:hAnsi="Times New Roman"/>
          <w:b/>
          <w:bCs/>
          <w:color w:val="1F3864"/>
          <w:sz w:val="28"/>
          <w:szCs w:val="28"/>
        </w:rPr>
        <w:t xml:space="preserve">5.4 Équilibre — F1-score et précision</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 F1-score harmonise précision et recall en un indicateur unique. LightGBM obtient le meilleur F1 (0,49), confirmant le meilleur compromis global pour un pré-scoring opérationnel.</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2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Modèle</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Précision</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Recall</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F1-score</w:t>
            </w:r>
          </w:p>
        </w:tc>
        <w:tc>
          <w:tcPr>
            <w:tcW w:type="dxa" w:w="12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Lecture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Régression logistique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0,68</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0,19</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Très faible</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XGBoost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0,31</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0,74</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0,44</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Acceptable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LightGBM (retenu)</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0,49</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Meilleur</w:t>
            </w:r>
          </w:p>
        </w:tc>
      </w:tr>
    </w:tbl>
    <w:p>
      <w:pPr>
        <w:spacing w:after="80" w:before="0"/>
      </w:pPr>
      <w:r>
        <w:rPr>
          <w:rFonts w:ascii="Times New Roman" w:cs="Times New Roman" w:eastAsia="Times New Roman" w:hAnsi="Times New Roman"/>
          <w:sz w:val="24"/>
          <w:szCs w:val="24"/>
        </w:rPr>
        <w:t xml:space="preserve"/>
      </w:r>
    </w:p>
    <w:p>
      <w:pPr>
        <w:spacing w:after="220" w:before="60" w:line="360"/>
        <w:jc w:val="center"/>
      </w:pPr>
      <w:r>
        <w:rPr>
          <w:rFonts w:ascii="Times New Roman" w:cs="Times New Roman" w:eastAsia="Times New Roman" w:hAnsi="Times New Roman"/>
          <w:i/>
          <w:iCs/>
          <w:color w:val="555555"/>
          <w:sz w:val="20"/>
          <w:szCs w:val="20"/>
        </w:rPr>
        <w:t xml:space="preserve">[Figure : matrices_confusion.png — copier le PNG dans le dossier figures/]</w:t>
      </w:r>
    </w:p>
    <w:p>
      <w:pPr>
        <w:spacing w:after="220" w:before="60" w:line="360"/>
        <w:jc w:val="center"/>
      </w:pPr>
      <w:r>
        <w:rPr>
          <w:rFonts w:ascii="Times New Roman" w:cs="Times New Roman" w:eastAsia="Times New Roman" w:hAnsi="Times New Roman"/>
          <w:i/>
          <w:iCs/>
          <w:color w:val="555555"/>
          <w:sz w:val="20"/>
          <w:szCs w:val="20"/>
        </w:rPr>
        <w:t xml:space="preserve">Figure — Matrices de confusion comparatives (VN, VP, FP, FN).</w:t>
      </w:r>
    </w:p>
    <w:p>
      <w:pPr>
        <w:pStyle w:val="Heading2"/>
        <w:spacing w:after="180" w:before="380"/>
      </w:pPr>
      <w:r>
        <w:rPr>
          <w:rFonts w:ascii="Times New Roman" w:cs="Times New Roman" w:eastAsia="Times New Roman" w:hAnsi="Times New Roman"/>
          <w:b/>
          <w:bCs/>
          <w:color w:val="1F3864"/>
          <w:sz w:val="28"/>
          <w:szCs w:val="28"/>
        </w:rPr>
        <w:t xml:space="preserve">5.5 Rapport de classification détaillé — LightGBM</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 rapport sklearn complet sur le jeu de test confirme une accuracy globale de 81 % et un F1 macro de 0,69. La classe non-défaut (majoritaire) est bien prédite (F1 = 0,88) ; la classe défaut, plus difficile, reste acceptable pour un pré-filtre automatique (F1 = 0,49).</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Classe</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Précision</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Rappel</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F1-score</w:t>
            </w:r>
          </w:p>
        </w:tc>
        <w:tc>
          <w:tcPr>
            <w:tcW w:type="dxa" w:w="15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Support</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Non-défaut (classe 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0,92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0,85</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0,88</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34 541</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Défaut (classe 1)</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0,41</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0,60</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0,49</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6 102</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Accuracy globale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40 643</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Macro average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0,67</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0,72</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0,69</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40 643</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Weighted average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0,85</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40 643</w:t>
            </w:r>
          </w:p>
        </w:tc>
      </w:tr>
    </w:tbl>
    <w:p>
      <w:pPr>
        <w:spacing w:after="80" w:before="0"/>
      </w:pPr>
      <w:r>
        <w:rPr>
          <w:rFonts w:ascii="Times New Roman" w:cs="Times New Roman" w:eastAsia="Times New Roman" w:hAnsi="Times New Roman"/>
          <w:sz w:val="24"/>
          <w:szCs w:val="24"/>
        </w:rPr>
        <w:t xml:space="preserve"/>
      </w:r>
    </w:p>
    <w:p>
      <w:pPr>
        <w:shd w:fill="EEF6FF" w:val="clear"/>
        <w:spacing w:after="180" w:before="180" w:line="360"/>
        <w:jc w:val="both"/>
      </w:pPr>
      <w:r>
        <w:rPr>
          <w:rFonts w:ascii="Times New Roman" w:cs="Times New Roman" w:eastAsia="Times New Roman" w:hAnsi="Times New Roman"/>
          <w:b/>
          <w:bCs/>
          <w:color w:val="2E7D32"/>
          <w:sz w:val="24"/>
          <w:szCs w:val="24"/>
        </w:rPr>
        <w:t xml:space="preserve">💡 Interprétation analyste — </w:t>
      </w:r>
      <w:r>
        <w:rPr>
          <w:rFonts w:ascii="Times New Roman" w:cs="Times New Roman" w:eastAsia="Times New Roman" w:hAnsi="Times New Roman"/>
          <w:color w:val="333333"/>
          <w:sz w:val="24"/>
          <w:szCs w:val="24"/>
        </w:rPr>
        <w:t xml:space="preserve">Une précision de 0,41 sur la classe défaut signifie que le modèle concentre les vrais défauts : sur 100 dossiers signalés, 41 sont effectivement en défaut, soit une concentration ~2,7× supérieure à la base (15 %).</w:t>
      </w:r>
    </w:p>
    <w:p>
      <w:pPr>
        <w:pStyle w:val="Heading2"/>
        <w:spacing w:after="180" w:before="380"/>
      </w:pPr>
      <w:r>
        <w:rPr>
          <w:rFonts w:ascii="Times New Roman" w:cs="Times New Roman" w:eastAsia="Times New Roman" w:hAnsi="Times New Roman"/>
          <w:b/>
          <w:bCs/>
          <w:color w:val="1F3864"/>
          <w:sz w:val="28"/>
          <w:szCs w:val="28"/>
        </w:rPr>
        <w:t xml:space="preserve">5.6 Validation sur profils types</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Trois profils représentatifs ont été soumis au pipeline complet pour vérifier la cohérence métier des prédictions :</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500"/>
        <w:gridCol w:w="2326"/>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Profil client</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PD estimée</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Zone</w:t>
            </w:r>
          </w:p>
        </w:tc>
        <w:tc>
          <w:tcPr>
            <w:tcW w:type="dxa" w:w="23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Décision</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CDI stable — 2 200 DT/mois, 48 mois, charges 750 DT</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&lt; 22,8 %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Verte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Non-défaut — dossier solide</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CDD récent — 900 DT/mois, 8 mois, charges 620 DT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&gt; 22,8 %</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Rouge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Défaut probable — examen requis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CDI moyen — 1 500 DT/mois, 36 mois, charges 550 DT</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&lt; 22,8 %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Orange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Non-défaut — vigilance modérée</w:t>
            </w:r>
          </w:p>
        </w:tc>
      </w:tr>
    </w:tbl>
    <w:p>
      <w:pPr>
        <w:spacing w:after="80" w:before="0"/>
      </w:pPr>
      <w:r>
        <w:rPr>
          <w:rFonts w:ascii="Times New Roman" w:cs="Times New Roman" w:eastAsia="Times New Roman" w:hAnsi="Times New Roman"/>
          <w:sz w:val="24"/>
          <w:szCs w:val="24"/>
        </w:rPr>
        <w:t xml:space="preserve"/>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Les résultats sont conformes à l'intuition bancaire : le profil CDD récent à faible reste à vivre est correctement classé comme le plus risqué, tandis que le CDI avec longue ancienneté obtient la zone la plus favorable.</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5.7 Bilan de la phase d'évaluation</w:t>
      </w:r>
    </w:p>
    <w:p>
      <w:pPr>
        <w:spacing w:after="140" w:before="0" w:line="360"/>
        <w:jc w:val="both"/>
      </w:pPr>
      <w:r>
        <w:rPr>
          <w:rFonts w:ascii="Times New Roman" w:cs="Times New Roman" w:eastAsia="Times New Roman" w:hAnsi="Times New Roman"/>
          <w:b/>
          <w:bCs/>
          <w:i w:val="false"/>
          <w:iCs w:val="false"/>
          <w:color w:val="000000"/>
          <w:sz w:val="24"/>
          <w:szCs w:val="24"/>
        </w:rPr>
        <w:t xml:space="preserve">Modèle retenu : </w:t>
      </w:r>
      <w:r>
        <w:rPr>
          <w:rFonts w:ascii="Times New Roman" w:cs="Times New Roman" w:eastAsia="Times New Roman" w:hAnsi="Times New Roman"/>
          <w:b w:val="false"/>
          <w:bCs w:val="false"/>
          <w:i w:val="false"/>
          <w:iCs w:val="false"/>
          <w:color w:val="000000"/>
          <w:sz w:val="24"/>
          <w:szCs w:val="24"/>
        </w:rPr>
        <w:t xml:space="preserve">LightGBM calibré avec contraintes monotones</w:t>
      </w:r>
    </w:p>
    <w:p>
      <w:pPr>
        <w:spacing w:after="140" w:before="0" w:line="360"/>
        <w:jc w:val="both"/>
      </w:pPr>
      <w:r>
        <w:rPr>
          <w:rFonts w:ascii="Times New Roman" w:cs="Times New Roman" w:eastAsia="Times New Roman" w:hAnsi="Times New Roman"/>
          <w:b/>
          <w:bCs/>
          <w:i w:val="false"/>
          <w:iCs w:val="false"/>
          <w:color w:val="000000"/>
          <w:sz w:val="24"/>
          <w:szCs w:val="24"/>
        </w:rPr>
        <w:t xml:space="preserve">AUC-ROC test : </w:t>
      </w:r>
      <w:r>
        <w:rPr>
          <w:rFonts w:ascii="Times New Roman" w:cs="Times New Roman" w:eastAsia="Times New Roman" w:hAnsi="Times New Roman"/>
          <w:b w:val="false"/>
          <w:bCs w:val="false"/>
          <w:i w:val="false"/>
          <w:iCs w:val="false"/>
          <w:color w:val="000000"/>
          <w:sz w:val="24"/>
          <w:szCs w:val="24"/>
        </w:rPr>
        <w:t xml:space="preserve">0,8222 — discrimination bonne à très bonne</w:t>
      </w:r>
    </w:p>
    <w:p>
      <w:pPr>
        <w:spacing w:after="140" w:before="0" w:line="360"/>
        <w:jc w:val="both"/>
      </w:pPr>
      <w:r>
        <w:rPr>
          <w:rFonts w:ascii="Times New Roman" w:cs="Times New Roman" w:eastAsia="Times New Roman" w:hAnsi="Times New Roman"/>
          <w:b/>
          <w:bCs/>
          <w:i w:val="false"/>
          <w:iCs w:val="false"/>
          <w:color w:val="000000"/>
          <w:sz w:val="24"/>
          <w:szCs w:val="24"/>
        </w:rPr>
        <w:t xml:space="preserve">F1 défaut : </w:t>
      </w:r>
      <w:r>
        <w:rPr>
          <w:rFonts w:ascii="Times New Roman" w:cs="Times New Roman" w:eastAsia="Times New Roman" w:hAnsi="Times New Roman"/>
          <w:b w:val="false"/>
          <w:bCs w:val="false"/>
          <w:i w:val="false"/>
          <w:iCs w:val="false"/>
          <w:color w:val="000000"/>
          <w:sz w:val="24"/>
          <w:szCs w:val="24"/>
        </w:rPr>
        <w:t xml:space="preserve">0,49 — meilleur équilibre précision/rappel parmi les trois candidats</w:t>
      </w:r>
    </w:p>
    <w:p>
      <w:pPr>
        <w:spacing w:after="140" w:before="0" w:line="360"/>
        <w:jc w:val="both"/>
      </w:pPr>
      <w:r>
        <w:rPr>
          <w:rFonts w:ascii="Times New Roman" w:cs="Times New Roman" w:eastAsia="Times New Roman" w:hAnsi="Times New Roman"/>
          <w:b/>
          <w:bCs/>
          <w:i w:val="false"/>
          <w:iCs w:val="false"/>
          <w:color w:val="000000"/>
          <w:sz w:val="24"/>
          <w:szCs w:val="24"/>
        </w:rPr>
        <w:t xml:space="preserve">Seuil opérationnel : </w:t>
      </w:r>
      <w:r>
        <w:rPr>
          <w:rFonts w:ascii="Times New Roman" w:cs="Times New Roman" w:eastAsia="Times New Roman" w:hAnsi="Times New Roman"/>
          <w:b w:val="false"/>
          <w:bCs w:val="false"/>
          <w:i w:val="false"/>
          <w:iCs w:val="false"/>
          <w:color w:val="000000"/>
          <w:sz w:val="24"/>
          <w:szCs w:val="24"/>
        </w:rPr>
        <w:t xml:space="preserve">22,8 % PD calibrée</w:t>
      </w:r>
    </w:p>
    <w:p>
      <w:pPr>
        <w:shd w:fill="EEF6FF" w:val="clear"/>
        <w:spacing w:after="180" w:before="180" w:line="360"/>
        <w:jc w:val="both"/>
      </w:pPr>
      <w:r>
        <w:rPr>
          <w:rFonts w:ascii="Times New Roman" w:cs="Times New Roman" w:eastAsia="Times New Roman" w:hAnsi="Times New Roman"/>
          <w:b/>
          <w:bCs/>
          <w:color w:val="1F3864"/>
          <w:sz w:val="24"/>
          <w:szCs w:val="24"/>
        </w:rPr>
        <w:t xml:space="preserve">🎯 Conclusion phases 4 &amp; 5 — </w:t>
      </w:r>
      <w:r>
        <w:rPr>
          <w:rFonts w:ascii="Times New Roman" w:cs="Times New Roman" w:eastAsia="Times New Roman" w:hAnsi="Times New Roman"/>
          <w:color w:val="333333"/>
          <w:sz w:val="24"/>
          <w:szCs w:val="24"/>
        </w:rPr>
        <w:t xml:space="preserve">Le module de pré-scoring BNPL UIB est validé sur le plan statistique et métier. La Phase 6 (déploiement API Flask + intégration Camunda) fait l'objet d'un chapitre distinct du rapport.</w:t>
      </w:r>
    </w:p>
    <w:sectPr>
      <w:headerReference w:type="default" r:id="rId7"/>
      <w:footerReference w:type="default" r:id="rId8"/>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pBd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pBdr>
      <w:spacing w:after="100"/>
      <w:jc w:val="right"/>
    </w:pPr>
    <w:r>
      <w:rPr>
        <w:rFonts w:ascii="Times New Roman" w:cs="Times New Roman" w:eastAsia="Times New Roman" w:hAnsi="Times New Roman"/>
        <w:i/>
        <w:iCs/>
        <w:color w:val="888888"/>
        <w:sz w:val="18"/>
        <w:szCs w:val="18"/>
      </w:rPr>
      <w:t xml:space="preserve">Phases 4 &amp; 5 — Modélisation et Évaluation | Pré-scoring BNPL UIB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38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140" w:before="260"/>
      <w:outlineLvl w:val="2"/>
    </w:pPr>
    <w:rPr>
      <w:rFonts w:ascii="Times New Roman" w:cs="Times New Roman" w:eastAsia="Times New Roman" w:hAnsi="Times New Roman"/>
      <w:b/>
      <w:bCs/>
      <w:i/>
      <w:i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2026-05-31T17:52:07.274Z</dcterms:created>
  <dcterms:modified xsi:type="dcterms:W3CDTF">2026-05-31T17:52:07.275Z</dcterms:modified>
</cp:coreProperties>
</file>

<file path=docProps/custom.xml><?xml version="1.0" encoding="utf-8"?>
<Properties xmlns="http://schemas.openxmlformats.org/officeDocument/2006/custom-properties" xmlns:vt="http://schemas.openxmlformats.org/officeDocument/2006/docPropsVTypes"/>
</file>