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PHASES 4, 5 &amp; 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30"/>
          <w:szCs w:val="30"/>
        </w:rPr>
        <w:t xml:space="preserve">Modélisation, Évaluation et Déploiement</w:t>
      </w:r>
    </w:p>
    <w:p>
      <w:r>
        <w:br w:type="page"/>
      </w:r>
    </w:p>
    <w:p>
      <w:pPr>
        <w:pStyle w:val="Heading1"/>
        <w:spacing w:after="220" w:before="5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Phase 4 — Modélisation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4.1 Introduction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modélisation consiste à entraîner un algorithme à reconnaître les comportements associés au risque de défaut de paiement à partir de données historiques.</w:t>
      </w:r>
    </w:p>
    <w:p>
      <w:pPr>
        <w:pBdr>
          <w:top w:val="single" w:color="1F3864" w:sz="6"/>
          <w:bottom w:val="single" w:color="1F3864" w:sz="6"/>
          <w:left w:val="single" w:color="1F3864" w:sz="18"/>
          <w:right w:val="single" w:color="1F3864" w:sz="6"/>
        </w:pBdr>
        <w:shd w:fill="F5F8FF" w:val="clear"/>
        <w:spacing w:after="160" w:before="160" w:line="36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💡 Objectif  </w:t>
      </w: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Le modèle apprend à estimer automatiquement une probabilité de défaut pour chaque nouveau client.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4.2 Comparaison des modèles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Trois modèles ont été testés afin de sélectionner la meilleure solution pour le pré-scoring BNPL.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Retenu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Régression logistique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0,6500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0,7966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LightGBM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0,8222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✅ Oui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4.3 Modèle retenu — LightGBM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modèle LightGBM a été retenu car il offre les meilleures performances tout en permettant l’intégration de contraintes métier bancaires.</w:t>
      </w:r>
    </w:p>
    <w:p>
      <w:pPr>
        <w:pStyle w:val="Heading3"/>
        <w:spacing w:after="140" w:before="260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6"/>
          <w:szCs w:val="26"/>
        </w:rPr>
        <w:t xml:space="preserve">4.3.1 Paramètres principaux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paramètres suivants ont été utilisés pour optimiser les performances du modèle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n_estimators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Nombre d’arbres de décision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learning_rate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Apprentissage lent et précis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num_leaves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Nombre maximal de branches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subsample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80 % des données par arbre</w:t>
            </w:r>
          </w:p>
        </w:tc>
      </w:tr>
    </w:tbl>
    <w:p>
      <w:r>
        <w:t xml:space="preserve"/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F5F8FF" w:val="clear"/>
        <w:spacing w:after="160" w:before="160" w:line="36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✅ Avantage principal  </w:t>
      </w: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LightGBM permet d’imposer des règles métier cohérentes avec les pratiques bancaires.</w:t>
      </w:r>
    </w:p>
    <w:p>
      <w:r>
        <w:br w:type="page"/>
      </w:r>
    </w:p>
    <w:p>
      <w:pPr>
        <w:pStyle w:val="Heading1"/>
        <w:spacing w:after="220" w:before="5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Phase 5 — Évaluation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5.1 Métriques d’évaluation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qualité du modèle est mesurée à l’aide de plusieurs indicateurs statistiques tels que l’AUC-ROC, la précision et le rappel.</w:t>
      </w:r>
    </w:p>
    <w:p>
      <w:pPr>
        <w:pBdr>
          <w:top w:val="single" w:color="1F3864" w:sz="6"/>
          <w:bottom w:val="single" w:color="1F3864" w:sz="6"/>
          <w:left w:val="single" w:color="1F3864" w:sz="18"/>
          <w:right w:val="single" w:color="1F3864" w:sz="6"/>
        </w:pBdr>
        <w:shd w:fill="F5F8FF" w:val="clear"/>
        <w:spacing w:after="160" w:before="160" w:line="36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📊 AUC-ROC  </w:t>
      </w: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Une AUC proche de 1 signifie que le modèle distingue efficacement les bons clients des clients risqués.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5.2 Résultats du modèle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performances détaillées du modèle LightGBM sont présentées ci-dessous.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Précision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Rappel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Non-défaut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0,88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Défaut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0,49</w:t>
            </w:r>
          </w:p>
        </w:tc>
      </w:tr>
    </w:tbl>
    <w:p>
      <w:r>
        <w:t xml:space="preserve"/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modèle atteint une AUC de 0,8222, ce qui représente une très bonne performance pour un système de pré-scoring bancaire.</w:t>
      </w:r>
    </w:p>
    <w:p>
      <w:pPr>
        <w:pBdr>
          <w:top w:val="single" w:color="2E7D32" w:sz="6"/>
          <w:bottom w:val="single" w:color="2E7D32" w:sz="6"/>
          <w:left w:val="single" w:color="2E7D32" w:sz="18"/>
          <w:right w:val="single" w:color="2E7D32" w:sz="6"/>
        </w:pBdr>
        <w:shd w:fill="F5F8FF" w:val="clear"/>
        <w:spacing w:after="160" w:before="160" w:line="36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💡 Interprétation  </w:t>
      </w: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Le modèle ne remplace pas l’analyste crédit mais sert d’outil d’aide à la décision.</w:t>
      </w:r>
    </w:p>
    <w:p>
      <w:r>
        <w:br w:type="page"/>
      </w:r>
    </w:p>
    <w:p>
      <w:pPr>
        <w:pStyle w:val="Heading1"/>
        <w:spacing w:after="220" w:before="5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Phase 6 — Déploiement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6.1 Déploiement du modèle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modèle entraîné est intégré dans un microservice Flask afin d’être accessible par les applications UIB BNPL.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6.2 Fonctionnement global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Lorsqu’un dossier est soumis, le serveur applique automatiquement les étapes suivantes : validation, transformation des données, prédiction et génération du score final.</w:t>
      </w:r>
    </w:p>
    <w:p>
      <w:pPr>
        <w:pBdr>
          <w:top w:val="single" w:color="1F3864" w:sz="6"/>
          <w:bottom w:val="single" w:color="1F3864" w:sz="6"/>
          <w:left w:val="single" w:color="1F3864" w:sz="18"/>
          <w:right w:val="single" w:color="1F3864" w:sz="6"/>
        </w:pBdr>
        <w:shd w:fill="F5F8FF" w:val="clear"/>
        <w:spacing w:after="160" w:before="160" w:line="36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⚙️ Pipeline  </w:t>
      </w: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Le serveur applique les mêmes traitements que ceux utilisés pendant l’entraînement du modèle.</w:t>
      </w:r>
    </w:p>
    <w:p>
      <w:pPr>
        <w:pStyle w:val="Heading2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2E4057"/>
          <w:sz w:val="28"/>
          <w:szCs w:val="28"/>
        </w:rPr>
        <w:t xml:space="preserve">6.3 Perspectives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prochaines versions intégreront des mécanismes d’explicabilité SHAP et des modèles de détection d’anomalies afin d’améliorer encore la fiabilité du système.</w:t>
      </w:r>
    </w:p>
    <w:p>
      <w:pPr>
        <w:pBdr>
          <w:top w:val="single" w:color="1F3864" w:sz="6"/>
          <w:bottom w:val="single" w:color="1F3864" w:sz="6"/>
          <w:left w:val="single" w:color="1F3864" w:sz="18"/>
          <w:right w:val="single" w:color="1F3864" w:sz="6"/>
        </w:pBdr>
        <w:shd w:fill="F5F8FF" w:val="clear"/>
        <w:spacing w:after="160" w:before="160" w:line="360"/>
        <w:ind w:left="200" w:right="200"/>
        <w:jc w:val="both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🎯 Conclusion  </w:t>
      </w:r>
      <w:r>
        <w:rPr>
          <w:rFonts w:ascii="Times New Roman" w:cs="Times New Roman" w:eastAsia="Times New Roman" w:hAnsi="Times New Roman"/>
          <w:color w:val="333333"/>
          <w:sz w:val="24"/>
          <w:szCs w:val="24"/>
        </w:rPr>
        <w:t xml:space="preserve">Le système BNPL UIB constitue une première base opérationnelle de pré-scoring automatisé adaptée au contexte bancaire.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Pré-scoring BNPL UIB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2026-05-18T23:44:16.590Z</dcterms:created>
  <dcterms:modified xsi:type="dcterms:W3CDTF">2026-05-18T23:44:16.591Z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