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color w:val="000000"/>
          <w:sz w:val="24"/>
          <w:szCs w:val="24"/>
        </w:rPr>
        <w:t xml:space="preserve">Weekly Research Progress Report — Lecture Rating Matrix</w:t>
      </w:r>
    </w:p>
    <w:p>
      <w:pPr>
        <w:spacing w:after="320"/>
        <w:jc w:val="center"/>
      </w:pPr>
      <w:r>
        <w:rPr>
          <w:rFonts w:ascii="Times New Roman" w:cs="Times New Roman" w:eastAsia="Times New Roman" w:hAnsi="Times New Roman"/>
          <w:color w:val="000000"/>
          <w:sz w:val="24"/>
          <w:szCs w:val="24"/>
        </w:rPr>
        <w:t xml:space="preserve">Hamza Mehmood, prepared for Professor Maaz Amjad — September 23, 2026</w:t>
      </w:r>
    </w:p>
    <w:p>
      <w:pPr>
        <w:spacing w:after="160" w:line="276"/>
      </w:pPr>
      <w:r>
        <w:rPr>
          <w:rFonts w:ascii="Times New Roman" w:cs="Times New Roman" w:eastAsia="Times New Roman" w:hAnsi="Times New Roman"/>
          <w:b/>
          <w:bCs/>
          <w:color w:val="000000"/>
          <w:sz w:val="24"/>
          <w:szCs w:val="24"/>
        </w:rPr>
        <w:t xml:space="preserve">Headline: </w:t>
      </w:r>
      <w:r>
        <w:rPr>
          <w:rFonts w:ascii="Times New Roman" w:cs="Times New Roman" w:eastAsia="Times New Roman" w:hAnsi="Times New Roman"/>
          <w:color w:val="000000"/>
          <w:sz w:val="24"/>
          <w:szCs w:val="24"/>
        </w:rPr>
        <w:t xml:space="preserve">The pipeline ran end to end on real lecture captions for the first time. The automated signals now have real numbers to compare against my hand-scoring, and the comparison says the current Examples and Implementation proxies do not work — on the one dimension where two lectures genuinely differ, the automated signal ranks them in the wrong order. The verification gate, by contrast, behaved exactly as designed on real data.</w:t>
      </w:r>
    </w:p>
    <w:p>
      <w:pPr>
        <w:spacing w:after="140" w:before="300"/>
      </w:pPr>
      <w:r>
        <w:rPr>
          <w:rFonts w:ascii="Times New Roman" w:cs="Times New Roman" w:eastAsia="Times New Roman" w:hAnsi="Times New Roman"/>
          <w:b/>
          <w:bCs/>
          <w:color w:val="000000"/>
          <w:sz w:val="24"/>
          <w:szCs w:val="24"/>
        </w:rPr>
        <w:t xml:space="preserve">1. The Pipeline Ran</w:t>
      </w:r>
    </w:p>
    <w:p>
      <w:pPr>
        <w:spacing w:after="160" w:line="276"/>
      </w:pPr>
      <w:r>
        <w:rPr>
          <w:rFonts w:ascii="Times New Roman" w:cs="Times New Roman" w:eastAsia="Times New Roman" w:hAnsi="Times New Roman"/>
          <w:color w:val="000000"/>
          <w:sz w:val="24"/>
          <w:szCs w:val="24"/>
        </w:rPr>
        <w:t xml:space="preserve">Stages 1 and 2 executed against real YouTube captions for all three Howard University CSCI 100 lectures. This closes the open item carried since Week 1. Two defects had to be fixed first, both described in Section 5.</w:t>
      </w:r>
    </w:p>
    <w:p>
      <w:pPr>
        <w:spacing w:after="160" w:line="276"/>
      </w:pPr>
      <w:r>
        <w:rPr>
          <w:rFonts w:ascii="Times New Roman" w:cs="Times New Roman" w:eastAsia="Times New Roman" w:hAnsi="Times New Roman"/>
          <w:color w:val="000000"/>
          <w:sz w:val="24"/>
          <w:szCs w:val="24"/>
        </w:rPr>
        <w:t xml:space="preserve">Raw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180"/>
        <w:gridCol w:w="1180"/>
        <w:gridCol w:w="1500"/>
        <w:gridCol w:w="2740"/>
      </w:tblGrid>
      <w:tr>
        <w:tc>
          <w:tcPr>
            <w:tcW w:type="dxa" w:w="2760"/>
            <w:shd w:fill="EDEDED"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000000"/>
                <w:sz w:val="24"/>
                <w:szCs w:val="24"/>
              </w:rPr>
              <w:t xml:space="preserve">Lecture</w:t>
            </w:r>
          </w:p>
        </w:tc>
        <w:tc>
          <w:tcPr>
            <w:tcW w:type="dxa" w:w="1180"/>
            <w:shd w:fill="EDEDED"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4"/>
                <w:szCs w:val="24"/>
              </w:rPr>
              <w:t xml:space="preserve">Words</w:t>
            </w:r>
          </w:p>
        </w:tc>
        <w:tc>
          <w:tcPr>
            <w:tcW w:type="dxa" w:w="1180"/>
            <w:shd w:fill="EDEDED"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4"/>
                <w:szCs w:val="24"/>
              </w:rPr>
              <w:t xml:space="preserve">Example markers</w:t>
            </w:r>
          </w:p>
        </w:tc>
        <w:tc>
          <w:tcPr>
            <w:tcW w:type="dxa" w:w="1500"/>
            <w:shd w:fill="EDEDED"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4"/>
                <w:szCs w:val="24"/>
              </w:rPr>
              <w:t xml:space="preserve">Implementation markers</w:t>
            </w:r>
          </w:p>
        </w:tc>
        <w:tc>
          <w:tcPr>
            <w:tcW w:type="dxa" w:w="2740"/>
            <w:shd w:fill="EDEDED"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4"/>
                <w:szCs w:val="24"/>
              </w:rPr>
              <w:t xml:space="preserve">Keyword coverage</w:t>
            </w:r>
          </w:p>
        </w:tc>
      </w:tr>
      <w:tr>
        <w:tc>
          <w:tcPr>
            <w:tcW w:type="dxa" w:w="27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2D Lists, Nested Loops</w:t>
            </w:r>
          </w:p>
        </w:tc>
        <w:tc>
          <w:tcPr>
            <w:tcW w:type="dxa" w:w="118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1,457</w:t>
            </w:r>
          </w:p>
        </w:tc>
        <w:tc>
          <w:tcPr>
            <w:tcW w:type="dxa" w:w="118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3  (2.06/1k)</w:t>
            </w:r>
          </w:p>
        </w:tc>
        <w:tc>
          <w:tcPr>
            <w:tcW w:type="dxa" w:w="15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1  (0.69/1k)</w:t>
            </w:r>
          </w:p>
        </w:tc>
        <w:tc>
          <w:tcPr>
            <w:tcW w:type="dxa" w:w="274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67%  (4 of 6 terms)</w:t>
            </w:r>
          </w:p>
        </w:tc>
      </w:tr>
      <w:tr>
        <w:tc>
          <w:tcPr>
            <w:tcW w:type="dxa" w:w="27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Classes, Attributes, OOP</w:t>
            </w:r>
          </w:p>
        </w:tc>
        <w:tc>
          <w:tcPr>
            <w:tcW w:type="dxa" w:w="118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882</w:t>
            </w:r>
          </w:p>
        </w:tc>
        <w:tc>
          <w:tcPr>
            <w:tcW w:type="dxa" w:w="118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1  (1.13/1k)</w:t>
            </w:r>
          </w:p>
        </w:tc>
        <w:tc>
          <w:tcPr>
            <w:tcW w:type="dxa" w:w="15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0  (0.00/1k)</w:t>
            </w:r>
          </w:p>
        </w:tc>
        <w:tc>
          <w:tcPr>
            <w:tcW w:type="dxa" w:w="274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50%  (3 of 6 terms)</w:t>
            </w:r>
          </w:p>
        </w:tc>
      </w:tr>
      <w:tr>
        <w:tc>
          <w:tcPr>
            <w:tcW w:type="dxa" w:w="27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Announcements clip</w:t>
            </w:r>
          </w:p>
        </w:tc>
        <w:tc>
          <w:tcPr>
            <w:tcW w:type="dxa" w:w="118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397</w:t>
            </w:r>
          </w:p>
        </w:tc>
        <w:tc>
          <w:tcPr>
            <w:tcW w:type="dxa" w:w="118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0  (0.00/1k)</w:t>
            </w:r>
          </w:p>
        </w:tc>
        <w:tc>
          <w:tcPr>
            <w:tcW w:type="dxa" w:w="15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0  (0.00/1k)</w:t>
            </w:r>
          </w:p>
        </w:tc>
        <w:tc>
          <w:tcPr>
            <w:tcW w:type="dxa" w:w="274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0%  (0 of 5 terms)</w:t>
            </w:r>
          </w:p>
        </w:tc>
      </w:tr>
    </w:tbl>
    <w:p>
      <w:pPr>
        <w:spacing w:after="180"/>
      </w:pPr>
      <w:r>
        <w:rPr>
          <w:rFonts w:ascii="Times New Roman" w:cs="Times New Roman" w:eastAsia="Times New Roman" w:hAnsi="Times New Roman"/>
          <w:color w:val="000000"/>
          <w:sz w:val="24"/>
          <w:szCs w:val="24"/>
        </w:rPr>
        <w:t xml:space="preserve"/>
      </w:r>
    </w:p>
    <w:p>
      <w:pPr>
        <w:spacing w:after="160" w:line="276"/>
      </w:pPr>
      <w:r>
        <w:rPr>
          <w:rFonts w:ascii="Times New Roman" w:cs="Times New Roman" w:eastAsia="Times New Roman" w:hAnsi="Times New Roman"/>
          <w:color w:val="000000"/>
          <w:sz w:val="24"/>
          <w:szCs w:val="24"/>
        </w:rPr>
        <w:t xml:space="preserve">A note before reading these numbers: the syllabus keyword lists are mine, written from each lecture's one-line schedule title, not Professor-supplied syllabus text. Coverage percentages therefore measure agreement with my guess at the topics, not against a real syllabus. Real use needs the actual course outline as input.</w:t>
      </w:r>
    </w:p>
    <w:p>
      <w:pPr>
        <w:spacing w:after="140" w:before="300"/>
      </w:pPr>
      <w:r>
        <w:rPr>
          <w:rFonts w:ascii="Times New Roman" w:cs="Times New Roman" w:eastAsia="Times New Roman" w:hAnsi="Times New Roman"/>
          <w:b/>
          <w:bCs/>
          <w:color w:val="000000"/>
          <w:sz w:val="24"/>
          <w:szCs w:val="24"/>
        </w:rPr>
        <w:t xml:space="preserve">2. Automated Against Hand-Scored</w:t>
      </w:r>
    </w:p>
    <w:p>
      <w:pPr>
        <w:spacing w:after="160" w:line="276"/>
      </w:pPr>
      <w:r>
        <w:rPr>
          <w:rFonts w:ascii="Times New Roman" w:cs="Times New Roman" w:eastAsia="Times New Roman" w:hAnsi="Times New Roman"/>
          <w:color w:val="000000"/>
          <w:sz w:val="24"/>
          <w:szCs w:val="24"/>
        </w:rPr>
        <w:t xml:space="preserve">The two content lectures were hand-scored in the Week 2 report. Setting those scores beside this week's automated signals gives the project's first calibration data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1900"/>
        <w:gridCol w:w="1260"/>
      </w:tblGrid>
      <w:tr>
        <w:tc>
          <w:tcPr>
            <w:tcW w:type="dxa" w:w="2400"/>
            <w:shd w:fill="EDEDED"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000000"/>
                <w:sz w:val="24"/>
                <w:szCs w:val="24"/>
              </w:rPr>
              <w:t xml:space="preserve">Dimension</w:t>
            </w:r>
          </w:p>
        </w:tc>
        <w:tc>
          <w:tcPr>
            <w:tcW w:type="dxa" w:w="1900"/>
            <w:shd w:fill="EDEDED"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4"/>
                <w:szCs w:val="24"/>
              </w:rPr>
              <w:t xml:space="preserve">2D Lists hand</w:t>
            </w:r>
          </w:p>
        </w:tc>
        <w:tc>
          <w:tcPr>
            <w:tcW w:type="dxa" w:w="1900"/>
            <w:shd w:fill="EDEDED"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4"/>
                <w:szCs w:val="24"/>
              </w:rPr>
              <w:t xml:space="preserve">2D Lists auto</w:t>
            </w:r>
          </w:p>
        </w:tc>
        <w:tc>
          <w:tcPr>
            <w:tcW w:type="dxa" w:w="1900"/>
            <w:shd w:fill="EDEDED"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4"/>
                <w:szCs w:val="24"/>
              </w:rPr>
              <w:t xml:space="preserve">OOP hand</w:t>
            </w:r>
          </w:p>
        </w:tc>
        <w:tc>
          <w:tcPr>
            <w:tcW w:type="dxa" w:w="1260"/>
            <w:shd w:fill="EDEDED"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4"/>
                <w:szCs w:val="24"/>
              </w:rPr>
              <w:t xml:space="preserve">OOP auto</w:t>
            </w:r>
          </w:p>
        </w:tc>
      </w:tr>
      <w:tr>
        <w:tc>
          <w:tcPr>
            <w:tcW w:type="dxa" w:w="24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Topic Coverage</w:t>
            </w:r>
          </w:p>
        </w:tc>
        <w:tc>
          <w:tcPr>
            <w:tcW w:type="dxa" w:w="19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3.5 / 3.5</w:t>
            </w:r>
          </w:p>
        </w:tc>
        <w:tc>
          <w:tcPr>
            <w:tcW w:type="dxa" w:w="19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67%</w:t>
            </w:r>
          </w:p>
        </w:tc>
        <w:tc>
          <w:tcPr>
            <w:tcW w:type="dxa" w:w="19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3.5 / 3.5</w:t>
            </w:r>
          </w:p>
        </w:tc>
        <w:tc>
          <w:tcPr>
            <w:tcW w:type="dxa" w:w="126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50%</w:t>
            </w:r>
          </w:p>
        </w:tc>
      </w:tr>
      <w:tr>
        <w:tc>
          <w:tcPr>
            <w:tcW w:type="dxa" w:w="24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Examples</w:t>
            </w:r>
          </w:p>
        </w:tc>
        <w:tc>
          <w:tcPr>
            <w:tcW w:type="dxa" w:w="19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2.0 / 2.0</w:t>
            </w:r>
          </w:p>
        </w:tc>
        <w:tc>
          <w:tcPr>
            <w:tcW w:type="dxa" w:w="19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3 markers</w:t>
            </w:r>
          </w:p>
        </w:tc>
        <w:tc>
          <w:tcPr>
            <w:tcW w:type="dxa" w:w="19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2.0 / 2.0</w:t>
            </w:r>
          </w:p>
        </w:tc>
        <w:tc>
          <w:tcPr>
            <w:tcW w:type="dxa" w:w="126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1 marker</w:t>
            </w:r>
          </w:p>
        </w:tc>
      </w:tr>
      <w:tr>
        <w:tc>
          <w:tcPr>
            <w:tcW w:type="dxa" w:w="24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Implementation</w:t>
            </w:r>
          </w:p>
        </w:tc>
        <w:tc>
          <w:tcPr>
            <w:tcW w:type="dxa" w:w="19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2.0 / 3.0</w:t>
            </w:r>
          </w:p>
        </w:tc>
        <w:tc>
          <w:tcPr>
            <w:tcW w:type="dxa" w:w="19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1 marker</w:t>
            </w:r>
          </w:p>
        </w:tc>
        <w:tc>
          <w:tcPr>
            <w:tcW w:type="dxa" w:w="19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2.5 / 3.0</w:t>
            </w:r>
          </w:p>
        </w:tc>
        <w:tc>
          <w:tcPr>
            <w:tcW w:type="dxa" w:w="126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0 markers</w:t>
            </w:r>
          </w:p>
        </w:tc>
      </w:tr>
    </w:tbl>
    <w:p>
      <w:pPr>
        <w:spacing w:after="180"/>
      </w:pPr>
      <w:r>
        <w:rPr>
          <w:rFonts w:ascii="Times New Roman" w:cs="Times New Roman" w:eastAsia="Times New Roman" w:hAnsi="Times New Roman"/>
          <w:color w:val="000000"/>
          <w:sz w:val="24"/>
          <w:szCs w:val="24"/>
        </w:rPr>
        <w:t xml:space="preserve"/>
      </w:r>
    </w:p>
    <w:p>
      <w:pPr>
        <w:spacing w:after="100" w:before="200"/>
      </w:pPr>
      <w:r>
        <w:rPr>
          <w:rFonts w:ascii="Times New Roman" w:cs="Times New Roman" w:eastAsia="Times New Roman" w:hAnsi="Times New Roman"/>
          <w:b/>
          <w:bCs/>
          <w:i/>
          <w:iCs/>
          <w:color w:val="000000"/>
          <w:sz w:val="24"/>
          <w:szCs w:val="24"/>
        </w:rPr>
        <w:t xml:space="preserve">The implementation proxy ranks the lectures backwards</w:t>
      </w:r>
    </w:p>
    <w:p>
      <w:pPr>
        <w:spacing w:after="160" w:line="276"/>
      </w:pPr>
      <w:r>
        <w:rPr>
          <w:rFonts w:ascii="Times New Roman" w:cs="Times New Roman" w:eastAsia="Times New Roman" w:hAnsi="Times New Roman"/>
          <w:color w:val="000000"/>
          <w:sz w:val="24"/>
          <w:szCs w:val="24"/>
        </w:rPr>
        <w:t xml:space="preserve">Implementation is the only dimension on which these two lectures differ in the hand-scoring: the OOP lecture scored higher, 2.5 against 2.0, because more working syntax is shown across the session. The automated proxy ranks it lower, and in fact finds zero implementation markers in a lecture that walks through writing a constructor and calling a method.</w:t>
      </w:r>
    </w:p>
    <w:p>
      <w:pPr>
        <w:spacing w:after="160" w:line="276"/>
      </w:pPr>
      <w:r>
        <w:rPr>
          <w:rFonts w:ascii="Times New Roman" w:cs="Times New Roman" w:eastAsia="Times New Roman" w:hAnsi="Times New Roman"/>
          <w:color w:val="000000"/>
          <w:sz w:val="24"/>
          <w:szCs w:val="24"/>
        </w:rPr>
        <w:t xml:space="preserve">That is not an imprecise signal. It is an inverted one. A proxy that reverses the ordering on the dimension it exists to measure cannot be allowed to contribute to a score, and the finding would have stayed invisible for as long as the pipeline went unrun.</w:t>
      </w:r>
    </w:p>
    <w:p>
      <w:pPr>
        <w:spacing w:after="100" w:before="200"/>
      </w:pPr>
      <w:r>
        <w:rPr>
          <w:rFonts w:ascii="Times New Roman" w:cs="Times New Roman" w:eastAsia="Times New Roman" w:hAnsi="Times New Roman"/>
          <w:b/>
          <w:bCs/>
          <w:i/>
          <w:iCs/>
          <w:color w:val="000000"/>
          <w:sz w:val="24"/>
          <w:szCs w:val="24"/>
        </w:rPr>
        <w:t xml:space="preserve">Why it fails</w:t>
      </w:r>
    </w:p>
    <w:p>
      <w:pPr>
        <w:spacing w:after="160" w:line="276"/>
      </w:pPr>
      <w:r>
        <w:rPr>
          <w:rFonts w:ascii="Times New Roman" w:cs="Times New Roman" w:eastAsia="Times New Roman" w:hAnsi="Times New Roman"/>
          <w:color w:val="000000"/>
          <w:sz w:val="24"/>
          <w:szCs w:val="24"/>
        </w:rPr>
        <w:t xml:space="preserve">The markers detect announcements, not content. The phrase list assumes an instructor narrates what they are about to do, saying 'let us write this' or 'the output is'. The OOP lecturer dictates real syntax directly, 'self dot name equals name', without ever announcing it. The 2D Lists lecture, meanwhile, carries a single sustained seating-chart example developed over most of the session, and registers three example markers, because marker frequency counts how often an example is introduced rather than how much example content exists.</w:t>
      </w:r>
    </w:p>
    <w:p>
      <w:pPr>
        <w:spacing w:after="160" w:line="276"/>
      </w:pPr>
      <w:r>
        <w:rPr>
          <w:rFonts w:ascii="Times New Roman" w:cs="Times New Roman" w:eastAsia="Times New Roman" w:hAnsi="Times New Roman"/>
          <w:color w:val="000000"/>
          <w:sz w:val="24"/>
          <w:szCs w:val="24"/>
        </w:rPr>
        <w:t xml:space="preserve">Both dimensions are therefore measuring speaking style rather than teaching substance. This is a direct argument for the reasoning judge in Stage 3 and for topic segmentation, and it is now supported by measurement rather than expectation.</w:t>
      </w:r>
    </w:p>
    <w:p>
      <w:pPr>
        <w:spacing w:after="140" w:before="300"/>
      </w:pPr>
      <w:r>
        <w:rPr>
          <w:rFonts w:ascii="Times New Roman" w:cs="Times New Roman" w:eastAsia="Times New Roman" w:hAnsi="Times New Roman"/>
          <w:b/>
          <w:bCs/>
          <w:color w:val="000000"/>
          <w:sz w:val="24"/>
          <w:szCs w:val="24"/>
        </w:rPr>
        <w:t xml:space="preserve">3. The Verification Gate Worked</w:t>
      </w:r>
    </w:p>
    <w:p>
      <w:pPr>
        <w:spacing w:after="160" w:line="276"/>
      </w:pPr>
      <w:r>
        <w:rPr>
          <w:rFonts w:ascii="Times New Roman" w:cs="Times New Roman" w:eastAsia="Times New Roman" w:hAnsi="Times New Roman"/>
          <w:color w:val="000000"/>
          <w:sz w:val="24"/>
          <w:szCs w:val="24"/>
        </w:rPr>
        <w:t xml:space="preserve">The gate proposed in the Week 2 report, redesigned last week so that topic overlap decides and transcript length only corroborates, was run against all three transcripts: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800"/>
        <w:gridCol w:w="3360"/>
      </w:tblGrid>
      <w:tr>
        <w:tc>
          <w:tcPr>
            <w:tcW w:type="dxa" w:w="2700"/>
            <w:shd w:fill="EDEDED"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000000"/>
                <w:sz w:val="24"/>
                <w:szCs w:val="24"/>
              </w:rPr>
              <w:t xml:space="preserve">Lecture</w:t>
            </w:r>
          </w:p>
        </w:tc>
        <w:tc>
          <w:tcPr>
            <w:tcW w:type="dxa" w:w="1500"/>
            <w:shd w:fill="EDEDED"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4"/>
                <w:szCs w:val="24"/>
              </w:rPr>
              <w:t xml:space="preserve">Words</w:t>
            </w:r>
          </w:p>
        </w:tc>
        <w:tc>
          <w:tcPr>
            <w:tcW w:type="dxa" w:w="1800"/>
            <w:shd w:fill="EDEDED"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4"/>
                <w:szCs w:val="24"/>
              </w:rPr>
              <w:t xml:space="preserve">Coverage</w:t>
            </w:r>
          </w:p>
        </w:tc>
        <w:tc>
          <w:tcPr>
            <w:tcW w:type="dxa" w:w="3360"/>
            <w:shd w:fill="EDEDED"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4"/>
                <w:szCs w:val="24"/>
              </w:rPr>
              <w:t xml:space="preserve">Gate verdict</w:t>
            </w:r>
          </w:p>
        </w:tc>
      </w:tr>
      <w:tr>
        <w:tc>
          <w:tcPr>
            <w:tcW w:type="dxa" w:w="27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2D Lists, Nested Loops</w:t>
            </w:r>
          </w:p>
        </w:tc>
        <w:tc>
          <w:tcPr>
            <w:tcW w:type="dxa" w:w="15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1,457</w:t>
            </w:r>
          </w:p>
        </w:tc>
        <w:tc>
          <w:tcPr>
            <w:tcW w:type="dxa" w:w="18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67%</w:t>
            </w:r>
          </w:p>
        </w:tc>
        <w:tc>
          <w:tcPr>
            <w:tcW w:type="dxa" w:w="336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Pass — proceed to scoring</w:t>
            </w:r>
          </w:p>
        </w:tc>
      </w:tr>
      <w:tr>
        <w:tc>
          <w:tcPr>
            <w:tcW w:type="dxa" w:w="27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Classes, Attributes, OOP</w:t>
            </w:r>
          </w:p>
        </w:tc>
        <w:tc>
          <w:tcPr>
            <w:tcW w:type="dxa" w:w="15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882</w:t>
            </w:r>
          </w:p>
        </w:tc>
        <w:tc>
          <w:tcPr>
            <w:tcW w:type="dxa" w:w="18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50%</w:t>
            </w:r>
          </w:p>
        </w:tc>
        <w:tc>
          <w:tcPr>
            <w:tcW w:type="dxa" w:w="336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Pass — proceed to scoring</w:t>
            </w:r>
          </w:p>
        </w:tc>
      </w:tr>
      <w:tr>
        <w:tc>
          <w:tcPr>
            <w:tcW w:type="dxa" w:w="27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Announcements clip</w:t>
            </w:r>
          </w:p>
        </w:tc>
        <w:tc>
          <w:tcPr>
            <w:tcW w:type="dxa" w:w="15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397</w:t>
            </w:r>
          </w:p>
        </w:tc>
        <w:tc>
          <w:tcPr>
            <w:tcW w:type="dxa" w:w="18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0%</w:t>
            </w:r>
          </w:p>
        </w:tc>
        <w:tc>
          <w:tcPr>
            <w:tcW w:type="dxa" w:w="336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Fail — content mismatch, no score</w:t>
            </w:r>
          </w:p>
        </w:tc>
      </w:tr>
    </w:tbl>
    <w:p>
      <w:pPr>
        <w:spacing w:after="180"/>
      </w:pPr>
      <w:r>
        <w:rPr>
          <w:rFonts w:ascii="Times New Roman" w:cs="Times New Roman" w:eastAsia="Times New Roman" w:hAnsi="Times New Roman"/>
          <w:color w:val="000000"/>
          <w:sz w:val="24"/>
          <w:szCs w:val="24"/>
        </w:rPr>
        <w:t xml:space="preserve"/>
      </w:r>
    </w:p>
    <w:p>
      <w:pPr>
        <w:spacing w:after="160" w:line="276"/>
      </w:pPr>
      <w:r>
        <w:rPr>
          <w:rFonts w:ascii="Times New Roman" w:cs="Times New Roman" w:eastAsia="Times New Roman" w:hAnsi="Times New Roman"/>
          <w:color w:val="000000"/>
          <w:sz w:val="24"/>
          <w:szCs w:val="24"/>
        </w:rPr>
        <w:t xml:space="preserve">The announcements clip fails decisively and on both conditions: zero of five topic terms present, in a transcript of 397 words. The two real lectures pass on coverage. This is the first real-data confirmation that the gate catches the Week 2 failure, rather than my assertion that it would.</w:t>
      </w:r>
    </w:p>
    <w:p>
      <w:pPr>
        <w:spacing w:after="100" w:before="200"/>
      </w:pPr>
      <w:r>
        <w:rPr>
          <w:rFonts w:ascii="Times New Roman" w:cs="Times New Roman" w:eastAsia="Times New Roman" w:hAnsi="Times New Roman"/>
          <w:b/>
          <w:bCs/>
          <w:i/>
          <w:iCs/>
          <w:color w:val="000000"/>
          <w:sz w:val="24"/>
          <w:szCs w:val="24"/>
        </w:rPr>
        <w:t xml:space="preserve">But the thresholds I chose were nearly wrong</w:t>
      </w:r>
    </w:p>
    <w:p>
      <w:pPr>
        <w:spacing w:after="160" w:line="276"/>
      </w:pPr>
      <w:r>
        <w:rPr>
          <w:rFonts w:ascii="Times New Roman" w:cs="Times New Roman" w:eastAsia="Times New Roman" w:hAnsi="Times New Roman"/>
          <w:color w:val="000000"/>
          <w:sz w:val="24"/>
          <w:szCs w:val="24"/>
        </w:rPr>
        <w:t xml:space="preserve">I had assumed a typical session runs about 2,000 spoken words and set the length floor at 40% of that, 800 words. The OOP lecture is 882 words. A genuine lecture cleared an invented threshold by ten percent. Had I guessed 1,200 words, it would have been rejected outright.</w:t>
      </w:r>
    </w:p>
    <w:p>
      <w:pPr>
        <w:spacing w:after="160" w:line="276"/>
      </w:pPr>
      <w:r>
        <w:rPr>
          <w:rFonts w:ascii="Times New Roman" w:cs="Times New Roman" w:eastAsia="Times New Roman" w:hAnsi="Times New Roman"/>
          <w:color w:val="000000"/>
          <w:sz w:val="24"/>
          <w:szCs w:val="24"/>
        </w:rPr>
        <w:t xml:space="preserve">The measured figures say these videos are lecture segments rather than full class periods: 1,457 and 882 words for content, 397 for announcements. Taking the two real lectures as the reference gives a typical segment of roughly 1,170 words and a 40% floor of 468, which the announcements clip still fails at 397. That is a threshold derived from data rather than intuition, and it is what the gate should use going forward.</w:t>
      </w:r>
    </w:p>
    <w:p>
      <w:pPr>
        <w:spacing w:after="140" w:before="300"/>
      </w:pPr>
      <w:r>
        <w:rPr>
          <w:rFonts w:ascii="Times New Roman" w:cs="Times New Roman" w:eastAsia="Times New Roman" w:hAnsi="Times New Roman"/>
          <w:b/>
          <w:bCs/>
          <w:color w:val="000000"/>
          <w:sz w:val="24"/>
          <w:szCs w:val="24"/>
        </w:rPr>
        <w:t xml:space="preserve">4. Where This Leaves the Design</w:t>
      </w:r>
    </w:p>
    <w:p>
      <w:pPr>
        <w:pStyle w:val="ListParagraph"/>
        <w:numPr>
          <w:ilvl w:val="0"/>
          <w:numId w:val="2"/>
        </w:numPr>
        <w:spacing w:after="120" w:line="276"/>
      </w:pPr>
      <w:r>
        <w:rPr>
          <w:rFonts w:ascii="Times New Roman" w:cs="Times New Roman" w:eastAsia="Times New Roman" w:hAnsi="Times New Roman"/>
          <w:b/>
          <w:bCs/>
          <w:color w:val="000000"/>
          <w:sz w:val="24"/>
          <w:szCs w:val="24"/>
        </w:rPr>
        <w:t xml:space="preserve">Demote the lexical proxies.</w:t>
      </w:r>
      <w:r>
        <w:rPr>
          <w:rFonts w:ascii="Times New Roman" w:cs="Times New Roman" w:eastAsia="Times New Roman" w:hAnsi="Times New Roman"/>
          <w:color w:val="000000"/>
          <w:sz w:val="24"/>
          <w:szCs w:val="24"/>
        </w:rPr>
        <w:t xml:space="preserve"> The Examples and Implementation proxies should be demoted from scoring inputs to weak evidence presented to the judge, not numbers that carry weight on their own.</w:t>
      </w:r>
    </w:p>
    <w:p>
      <w:pPr>
        <w:pStyle w:val="ListParagraph"/>
        <w:numPr>
          <w:ilvl w:val="0"/>
          <w:numId w:val="2"/>
        </w:numPr>
        <w:spacing w:after="120" w:line="276"/>
      </w:pPr>
      <w:r>
        <w:rPr>
          <w:rFonts w:ascii="Times New Roman" w:cs="Times New Roman" w:eastAsia="Times New Roman" w:hAnsi="Times New Roman"/>
          <w:b/>
          <w:bCs/>
          <w:color w:val="000000"/>
          <w:sz w:val="24"/>
          <w:szCs w:val="24"/>
        </w:rPr>
        <w:t xml:space="preserve">Stage 3 becomes the priority.</w:t>
      </w:r>
      <w:r>
        <w:rPr>
          <w:rFonts w:ascii="Times New Roman" w:cs="Times New Roman" w:eastAsia="Times New Roman" w:hAnsi="Times New Roman"/>
          <w:color w:val="000000"/>
          <w:sz w:val="24"/>
          <w:szCs w:val="24"/>
        </w:rPr>
        <w:t xml:space="preserve"> Stage 3 is no longer an enhancement, it is the correction for what Section 2 demonstrates. A judge that reads the transcript can see a constructor being written; a phrase list cannot.</w:t>
      </w:r>
    </w:p>
    <w:p>
      <w:pPr>
        <w:pStyle w:val="ListParagraph"/>
        <w:numPr>
          <w:ilvl w:val="0"/>
          <w:numId w:val="2"/>
        </w:numPr>
        <w:spacing w:after="120" w:line="276"/>
      </w:pPr>
      <w:r>
        <w:rPr>
          <w:rFonts w:ascii="Times New Roman" w:cs="Times New Roman" w:eastAsia="Times New Roman" w:hAnsi="Times New Roman"/>
          <w:b/>
          <w:bCs/>
          <w:color w:val="000000"/>
          <w:sz w:val="24"/>
          <w:szCs w:val="24"/>
        </w:rPr>
        <w:t xml:space="preserve">Segmentation before coverage.</w:t>
      </w:r>
      <w:r>
        <w:rPr>
          <w:rFonts w:ascii="Times New Roman" w:cs="Times New Roman" w:eastAsia="Times New Roman" w:hAnsi="Times New Roman"/>
          <w:color w:val="000000"/>
          <w:sz w:val="24"/>
          <w:szCs w:val="24"/>
        </w:rPr>
        <w:t xml:space="preserve"> Topic coverage by keyword counting cannot distinguish a term explained for ten minutes from a term mentioned once, which is the same class of error. Segmentation should come before coverage scoring.</w:t>
      </w:r>
    </w:p>
    <w:p>
      <w:pPr>
        <w:pStyle w:val="ListParagraph"/>
        <w:numPr>
          <w:ilvl w:val="0"/>
          <w:numId w:val="2"/>
        </w:numPr>
        <w:spacing w:after="120" w:line="276"/>
      </w:pPr>
      <w:r>
        <w:rPr>
          <w:rFonts w:ascii="Times New Roman" w:cs="Times New Roman" w:eastAsia="Times New Roman" w:hAnsi="Times New Roman"/>
          <w:b/>
          <w:bCs/>
          <w:color w:val="000000"/>
          <w:sz w:val="24"/>
          <w:szCs w:val="24"/>
        </w:rPr>
        <w:t xml:space="preserve">Thresholds from data.</w:t>
      </w:r>
      <w:r>
        <w:rPr>
          <w:rFonts w:ascii="Times New Roman" w:cs="Times New Roman" w:eastAsia="Times New Roman" w:hAnsi="Times New Roman"/>
          <w:color w:val="000000"/>
          <w:sz w:val="24"/>
          <w:szCs w:val="24"/>
        </w:rPr>
        <w:t xml:space="preserve"> Gate thresholds move to measured values, and should be recomputed per course rather than fixed globally.</w:t>
      </w:r>
    </w:p>
    <w:p>
      <w:pPr>
        <w:spacing w:after="140" w:before="300"/>
      </w:pPr>
      <w:r>
        <w:rPr>
          <w:rFonts w:ascii="Times New Roman" w:cs="Times New Roman" w:eastAsia="Times New Roman" w:hAnsi="Times New Roman"/>
          <w:b/>
          <w:bCs/>
          <w:color w:val="000000"/>
          <w:sz w:val="24"/>
          <w:szCs w:val="24"/>
        </w:rPr>
        <w:t xml:space="preserve">5. Two Defects Found and Fixed</w:t>
      </w:r>
    </w:p>
    <w:p>
      <w:pPr>
        <w:spacing w:after="100" w:before="200"/>
      </w:pPr>
      <w:r>
        <w:rPr>
          <w:rFonts w:ascii="Times New Roman" w:cs="Times New Roman" w:eastAsia="Times New Roman" w:hAnsi="Times New Roman"/>
          <w:b/>
          <w:bCs/>
          <w:i/>
          <w:iCs/>
          <w:color w:val="000000"/>
          <w:sz w:val="24"/>
          <w:szCs w:val="24"/>
        </w:rPr>
        <w:t xml:space="preserve">The script could not call its own dependency</w:t>
      </w:r>
    </w:p>
    <w:p>
      <w:pPr>
        <w:spacing w:after="160" w:line="276"/>
      </w:pPr>
      <w:r>
        <w:rPr>
          <w:rFonts w:ascii="Times New Roman" w:cs="Times New Roman" w:eastAsia="Times New Roman" w:hAnsi="Times New Roman"/>
          <w:color w:val="000000"/>
          <w:sz w:val="24"/>
          <w:szCs w:val="24"/>
        </w:rPr>
        <w:t xml:space="preserve">The first real run failed immediately. The script called the transcript library's get_transcript method, which was correct before version 1.0 of that library but no longer exists; current versions use an instance method returning objects rather than dictionaries. The script has never worked against a current install. It now detects which version is present and uses the appropriate call, so it works either way.</w:t>
      </w:r>
    </w:p>
    <w:p>
      <w:pPr>
        <w:spacing w:after="100" w:before="200"/>
      </w:pPr>
      <w:r>
        <w:rPr>
          <w:rFonts w:ascii="Times New Roman" w:cs="Times New Roman" w:eastAsia="Times New Roman" w:hAnsi="Times New Roman"/>
          <w:b/>
          <w:bCs/>
          <w:i/>
          <w:iCs/>
          <w:color w:val="000000"/>
          <w:sz w:val="24"/>
          <w:szCs w:val="24"/>
        </w:rPr>
        <w:t xml:space="preserve">An example marker that never fired</w:t>
      </w:r>
    </w:p>
    <w:p>
      <w:pPr>
        <w:spacing w:after="160" w:line="276"/>
      </w:pPr>
      <w:r>
        <w:rPr>
          <w:rFonts w:ascii="Times New Roman" w:cs="Times New Roman" w:eastAsia="Times New Roman" w:hAnsi="Times New Roman"/>
          <w:color w:val="000000"/>
          <w:sz w:val="24"/>
          <w:szCs w:val="24"/>
        </w:rPr>
        <w:t xml:space="preserve">Testing the pattern list against a fixture containing every marker showed that the abbreviation e.g. never matched in ordinary prose. Its trailing word boundary required a letter immediately after the final period, so 'e.g. a seating chart' did not match while the malformed 'e.g.a' did. Every example flagged that way had gone uncounted since the script was written. Fixed and verified.</w:t>
      </w:r>
    </w:p>
    <w:p>
      <w:pPr>
        <w:spacing w:after="160" w:line="276"/>
      </w:pPr>
      <w:r>
        <w:rPr>
          <w:rFonts w:ascii="Times New Roman" w:cs="Times New Roman" w:eastAsia="Times New Roman" w:hAnsi="Times New Roman"/>
          <w:color w:val="000000"/>
          <w:sz w:val="24"/>
          <w:szCs w:val="24"/>
        </w:rPr>
        <w:t xml:space="preserve">Both defects share a cause: the code had never been executed against real input. A fixture exercising all nineteen patterns, and one real transcript kept as a regression case, should become permanent tests.</w:t>
      </w:r>
    </w:p>
    <w:p>
      <w:pPr>
        <w:spacing w:after="140" w:before="300"/>
      </w:pPr>
      <w:r>
        <w:rPr>
          <w:rFonts w:ascii="Times New Roman" w:cs="Times New Roman" w:eastAsia="Times New Roman" w:hAnsi="Times New Roman"/>
          <w:b/>
          <w:bCs/>
          <w:color w:val="000000"/>
          <w:sz w:val="24"/>
          <w:szCs w:val="24"/>
        </w:rPr>
        <w:t xml:space="preserve">6. Literature Review and Your Question on Practical Work</w:t>
      </w:r>
    </w:p>
    <w:p>
      <w:pPr>
        <w:spacing w:after="160" w:line="276"/>
      </w:pPr>
      <w:r>
        <w:rPr>
          <w:rFonts w:ascii="Times New Roman" w:cs="Times New Roman" w:eastAsia="Times New Roman" w:hAnsi="Times New Roman"/>
          <w:color w:val="000000"/>
          <w:sz w:val="24"/>
          <w:szCs w:val="24"/>
        </w:rPr>
        <w:t xml:space="preserve">The synthesis now covers eleven papers, up from five, with four further papers identified but excluded as they require TTU library access and I did not want to write around content I could not verify.</w:t>
      </w:r>
    </w:p>
    <w:p>
      <w:pPr>
        <w:spacing w:after="160" w:line="276"/>
      </w:pPr>
      <w:r>
        <w:rPr>
          <w:rFonts w:ascii="Times New Roman" w:cs="Times New Roman" w:eastAsia="Times New Roman" w:hAnsi="Times New Roman"/>
          <w:color w:val="000000"/>
          <w:sz w:val="24"/>
          <w:szCs w:val="24"/>
        </w:rPr>
        <w:t xml:space="preserve">On whether practical work already exists: yes, and some is deployed at scale, but it measures how a teacher talks rather than what a lecture covers. TeachFX runs in Utah schools and scores talk time, wait time and question type, validated in a randomized trial with 224 teachers. Stanford's M-Powering Teachers and Colorado's TalkMoves do the same for classroom discourse. Microsoft's LLM-Rubric, which is open source, provides exactly the calibration machinery we need — an LLM answers each rubric question and a small network calibrates those answers against human ratings — but has only been applied to dialogue systems.</w:t>
      </w:r>
    </w:p>
    <w:p>
      <w:pPr>
        <w:spacing w:after="160" w:line="276"/>
      </w:pPr>
      <w:r>
        <w:rPr>
          <w:rFonts w:ascii="Times New Roman" w:cs="Times New Roman" w:eastAsia="Times New Roman" w:hAnsi="Times New Roman"/>
          <w:color w:val="000000"/>
          <w:sz w:val="24"/>
          <w:szCs w:val="24"/>
        </w:rPr>
        <w:t xml:space="preserve">None of them score topic coverage against a syllabus, examples, or implementation, none target university lectures, and none verify that the recording is the lesson before scoring it. The content side we are building is genuinely unimplemented, and the engineering pieces to build it on already exist. A separate document covers this in full, including the publicly released NCTE transcripts dataset, which carries human observation scores and would let us test whether our judge tracks human raters before we trust it.</w:t>
      </w:r>
    </w:p>
    <w:p>
      <w:pPr>
        <w:spacing w:after="140" w:before="300"/>
      </w:pPr>
      <w:r>
        <w:rPr>
          <w:rFonts w:ascii="Times New Roman" w:cs="Times New Roman" w:eastAsia="Times New Roman" w:hAnsi="Times New Roman"/>
          <w:b/>
          <w:bCs/>
          <w:color w:val="000000"/>
          <w:sz w:val="24"/>
          <w:szCs w:val="24"/>
        </w:rPr>
        <w:t xml:space="preserve">7. A Working Demo</w:t>
      </w:r>
    </w:p>
    <w:p>
      <w:pPr>
        <w:spacing w:after="160" w:line="276"/>
      </w:pPr>
      <w:r>
        <w:rPr>
          <w:rFonts w:ascii="Times New Roman" w:cs="Times New Roman" w:eastAsia="Times New Roman" w:hAnsi="Times New Roman"/>
          <w:color w:val="000000"/>
          <w:sz w:val="24"/>
          <w:szCs w:val="24"/>
        </w:rPr>
        <w:t xml:space="preserve">I built an interactive page so the matrix can be shown rather than described. It presents the rubric, the scores for all four lectures tested so far with the reasoning behind each, and a live panel that runs the signal-extraction stage in the browser against any transcript pasted into it. It is worth opening rather than reading about.</w:t>
      </w:r>
    </w:p>
    <w:p>
      <w:pPr>
        <w:spacing w:after="140" w:before="300"/>
      </w:pPr>
      <w:r>
        <w:rPr>
          <w:rFonts w:ascii="Times New Roman" w:cs="Times New Roman" w:eastAsia="Times New Roman" w:hAnsi="Times New Roman"/>
          <w:b/>
          <w:bCs/>
          <w:color w:val="000000"/>
          <w:sz w:val="24"/>
          <w:szCs w:val="24"/>
        </w:rPr>
        <w:t xml:space="preserve">8. Next Steps</w:t>
      </w:r>
    </w:p>
    <w:p>
      <w:pPr>
        <w:pStyle w:val="ListParagraph"/>
        <w:numPr>
          <w:ilvl w:val="0"/>
          <w:numId w:val="3"/>
        </w:numPr>
        <w:spacing w:after="120" w:line="276"/>
      </w:pPr>
      <w:r>
        <w:rPr>
          <w:rFonts w:ascii="Times New Roman" w:cs="Times New Roman" w:eastAsia="Times New Roman" w:hAnsi="Times New Roman"/>
          <w:color w:val="000000"/>
          <w:sz w:val="24"/>
          <w:szCs w:val="24"/>
        </w:rPr>
        <w:t xml:space="preserve">Build Stage 3, the reason-before-score judge with a single unified prompt, and run it on the same three lectures so it can be compared against both my hand-scores and this week's lexical signals.</w:t>
      </w:r>
    </w:p>
    <w:p>
      <w:pPr>
        <w:pStyle w:val="ListParagraph"/>
        <w:numPr>
          <w:ilvl w:val="0"/>
          <w:numId w:val="3"/>
        </w:numPr>
        <w:spacing w:after="120" w:line="276"/>
      </w:pPr>
      <w:r>
        <w:rPr>
          <w:rFonts w:ascii="Times New Roman" w:cs="Times New Roman" w:eastAsia="Times New Roman" w:hAnsi="Times New Roman"/>
          <w:color w:val="000000"/>
          <w:sz w:val="24"/>
          <w:szCs w:val="24"/>
        </w:rPr>
        <w:t xml:space="preserve">Demote the marker counts to supporting evidence in the judge prompt rather than standalone signals.</w:t>
      </w:r>
    </w:p>
    <w:p>
      <w:pPr>
        <w:pStyle w:val="ListParagraph"/>
        <w:numPr>
          <w:ilvl w:val="0"/>
          <w:numId w:val="3"/>
        </w:numPr>
        <w:spacing w:after="120" w:line="276"/>
      </w:pPr>
      <w:r>
        <w:rPr>
          <w:rFonts w:ascii="Times New Roman" w:cs="Times New Roman" w:eastAsia="Times New Roman" w:hAnsi="Times New Roman"/>
          <w:color w:val="000000"/>
          <w:sz w:val="24"/>
          <w:szCs w:val="24"/>
        </w:rPr>
        <w:t xml:space="preserve">Ask whether real syllabus text for these sessions can be obtained, so coverage is measured against the course outline instead of my reconstruction.</w:t>
      </w:r>
    </w:p>
    <w:p>
      <w:pPr>
        <w:pStyle w:val="ListParagraph"/>
        <w:numPr>
          <w:ilvl w:val="0"/>
          <w:numId w:val="3"/>
        </w:numPr>
        <w:spacing w:after="120" w:line="276"/>
      </w:pPr>
      <w:r>
        <w:rPr>
          <w:rFonts w:ascii="Times New Roman" w:cs="Times New Roman" w:eastAsia="Times New Roman" w:hAnsi="Times New Roman"/>
          <w:color w:val="000000"/>
          <w:sz w:val="24"/>
          <w:szCs w:val="24"/>
        </w:rPr>
        <w:t xml:space="preserve">Add topic segmentation before coverage scoring.</w:t>
      </w:r>
    </w:p>
    <w:p>
      <w:pPr>
        <w:pStyle w:val="ListParagraph"/>
        <w:numPr>
          <w:ilvl w:val="0"/>
          <w:numId w:val="3"/>
        </w:numPr>
        <w:spacing w:after="120" w:line="276"/>
      </w:pPr>
      <w:r>
        <w:rPr>
          <w:rFonts w:ascii="Times New Roman" w:cs="Times New Roman" w:eastAsia="Times New Roman" w:hAnsi="Times New Roman"/>
          <w:color w:val="000000"/>
          <w:sz w:val="24"/>
          <w:szCs w:val="24"/>
        </w:rPr>
        <w:t xml:space="preserve">Add the fixture and regression tests described in Section 5.</w:t>
      </w:r>
    </w:p>
    <w:p>
      <w:pPr>
        <w:pStyle w:val="ListParagraph"/>
        <w:numPr>
          <w:ilvl w:val="0"/>
          <w:numId w:val="3"/>
        </w:numPr>
        <w:spacing w:after="120" w:line="276"/>
      </w:pPr>
      <w:r>
        <w:rPr>
          <w:rFonts w:ascii="Times New Roman" w:cs="Times New Roman" w:eastAsia="Times New Roman" w:hAnsi="Times New Roman"/>
          <w:color w:val="000000"/>
          <w:sz w:val="24"/>
          <w:szCs w:val="24"/>
        </w:rPr>
        <w:t xml:space="preserve">Evaluate building Stage 3 on LLM-Rubric rather than writing the scoring loop from scratch.</w:t>
      </w:r>
    </w:p>
    <w:p>
      <w:pPr>
        <w:spacing w:after="140" w:before="300"/>
      </w:pPr>
      <w:r>
        <w:rPr>
          <w:rFonts w:ascii="Times New Roman" w:cs="Times New Roman" w:eastAsia="Times New Roman" w:hAnsi="Times New Roman"/>
          <w:b/>
          <w:bCs/>
          <w:color w:val="000000"/>
          <w:sz w:val="24"/>
          <w:szCs w:val="24"/>
        </w:rPr>
        <w:t xml:space="preserve">Attached and Available</w:t>
      </w:r>
    </w:p>
    <w:p>
      <w:pPr>
        <w:pStyle w:val="ListParagraph"/>
        <w:numPr>
          <w:ilvl w:val="0"/>
          <w:numId w:val="4"/>
        </w:numPr>
        <w:spacing w:after="120" w:line="276"/>
      </w:pPr>
      <w:r>
        <w:rPr>
          <w:rFonts w:ascii="Times New Roman" w:cs="Times New Roman" w:eastAsia="Times New Roman" w:hAnsi="Times New Roman"/>
          <w:color w:val="000000"/>
          <w:sz w:val="24"/>
          <w:szCs w:val="24"/>
        </w:rPr>
        <w:t xml:space="preserve">Literature review synthesis, eleven papers, with a separate list of direct source links.</w:t>
      </w:r>
    </w:p>
    <w:p>
      <w:pPr>
        <w:pStyle w:val="ListParagraph"/>
        <w:numPr>
          <w:ilvl w:val="0"/>
          <w:numId w:val="4"/>
        </w:numPr>
        <w:spacing w:after="120" w:line="276"/>
      </w:pPr>
      <w:r>
        <w:rPr>
          <w:rFonts w:ascii="Times New Roman" w:cs="Times New Roman" w:eastAsia="Times New Roman" w:hAnsi="Times New Roman"/>
          <w:color w:val="000000"/>
          <w:sz w:val="24"/>
          <w:szCs w:val="24"/>
        </w:rPr>
        <w:t xml:space="preserve">Practical work review answering Section 6 in full.</w:t>
      </w:r>
    </w:p>
    <w:p>
      <w:pPr>
        <w:pStyle w:val="ListParagraph"/>
        <w:numPr>
          <w:ilvl w:val="0"/>
          <w:numId w:val="4"/>
        </w:numPr>
        <w:spacing w:after="120" w:line="276"/>
      </w:pPr>
      <w:r>
        <w:rPr>
          <w:rFonts w:ascii="Times New Roman" w:cs="Times New Roman" w:eastAsia="Times New Roman" w:hAnsi="Times New Roman"/>
          <w:color w:val="000000"/>
          <w:sz w:val="24"/>
          <w:szCs w:val="24"/>
        </w:rPr>
        <w:t xml:space="preserve">Interactive demo page.</w:t>
      </w:r>
    </w:p>
    <w:p>
      <w:pPr>
        <w:pStyle w:val="ListParagraph"/>
        <w:numPr>
          <w:ilvl w:val="0"/>
          <w:numId w:val="4"/>
        </w:numPr>
        <w:spacing w:after="120" w:line="276"/>
      </w:pPr>
      <w:r>
        <w:rPr>
          <w:rFonts w:ascii="Times New Roman" w:cs="Times New Roman" w:eastAsia="Times New Roman" w:hAnsi="Times New Roman"/>
          <w:color w:val="000000"/>
          <w:sz w:val="24"/>
          <w:szCs w:val="24"/>
        </w:rPr>
        <w:t xml:space="preserve">Repository containing the rubric, the pipeline script, all progress reports and the literature review.</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2026-09-23T19:32:34.489Z</dcterms:created>
  <dcterms:modified xsi:type="dcterms:W3CDTF">2026-09-23T19:32:34.497Z</dcterms:modified>
</cp:coreProperties>
</file>

<file path=docProps/custom.xml><?xml version="1.0" encoding="utf-8"?>
<Properties xmlns="http://schemas.openxmlformats.org/officeDocument/2006/custom-properties" xmlns:vt="http://schemas.openxmlformats.org/officeDocument/2006/docPropsVTypes"/>
</file>