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6"/>
          <w:szCs w:val="26"/>
        </w:rPr>
        <w:t xml:space="preserve">Weekly Research Progress Report — Lecture Rating Matrix</w:t>
      </w:r>
    </w:p>
    <w:p>
      <w:pPr>
        <w:spacing w:after="300"/>
        <w:jc w:val="center"/>
      </w:pPr>
      <w:r>
        <w:t xml:space="preserve">Hamza Mehmood — prepared for Professor Maaz Amjad — September 9, 2026</w:t>
      </w:r>
    </w:p>
    <w:p>
      <w:pPr>
        <w:spacing w:after="120" w:before="240"/>
      </w:pPr>
      <w:r>
        <w:rPr>
          <w:b/>
          <w:bCs/>
          <w:sz w:val="24"/>
          <w:szCs w:val="24"/>
        </w:rPr>
        <w:t xml:space="preserve">1. Purpose of This Week's Test</w:t>
      </w:r>
    </w:p>
    <w:p>
      <w:pPr>
        <w:spacing w:after="200" w:line="288"/>
      </w:pPr>
      <w:r>
        <w:t xml:space="preserve">Week 1 tested the rubric on a single lecture — MIT's 6.100L, Lecture 1 — which is useful as a sanity check but doesn't say much about whether the matrix generalizes. One lecture, one instructor, one institution is too small a sample to trust. This week I ran the same rubric on three lectures from a different course entirely: Howard University's CSCI 100, an intro computer science course that posts every lecture on YouTube with a public schedule on its own course site. That made it realistic to pull several lectures in one sitting and see whether the scores still made sense outside the one example I'd already built the matrix around.</w:t>
      </w:r>
    </w:p>
    <w:p>
      <w:pPr>
        <w:spacing w:after="200" w:line="288"/>
      </w:pPr>
      <w:r>
        <w:t xml:space="preserve">I picked lectures on purpose to vary in type rather than picking three similar ones: one clearly implementation-heavy topic, one mixed conceptual/implementation topic, and one that the course schedule labeled as a soft, non-technical topic (ethics). That third pick turned out to matter more than expected, for reasons in Section 5.</w:t>
      </w:r>
    </w:p>
    <w:p>
      <w:pPr>
        <w:spacing w:after="120" w:before="240"/>
      </w:pPr>
      <w:r>
        <w:rPr>
          <w:b/>
          <w:bCs/>
          <w:sz w:val="24"/>
          <w:szCs w:val="24"/>
        </w:rPr>
        <w:t xml:space="preserve">2. Method</w:t>
      </w:r>
    </w:p>
    <w:p>
      <w:pPr>
        <w:spacing w:after="80" w:before="160"/>
      </w:pPr>
      <w:r>
        <w:rPr>
          <w:b/>
          <w:bCs/>
          <w:i/>
          <w:iCs/>
          <w:sz w:val="22"/>
          <w:szCs w:val="22"/>
        </w:rPr>
        <w:t xml:space="preserve">Selecting the lectures</w:t>
      </w:r>
    </w:p>
    <w:p>
      <w:pPr>
        <w:spacing w:after="200" w:line="288"/>
      </w:pPr>
      <w:r>
        <w:t xml:space="preserve">All three come from the CSCI100 Fall '21 YouTube channel, chosen from the lecture-by-lecture schedule posted on the course's own site (which lists a topic and a YouTube link for every class period across the semester):</w:t>
      </w:r>
    </w:p>
    <w:p>
      <w:pPr>
        <w:spacing w:after="200" w:line="288"/>
      </w:pPr>
      <w:r>
        <w:t xml:space="preserve">1. </w:t>
      </w:r>
      <w:r>
        <w:rPr>
          <w:i/>
          <w:iCs/>
        </w:rPr>
        <w:t xml:space="preserve">2-Dimensional Lists, Nested For Loops, Images</w:t>
      </w:r>
      <w:r>
        <w:t xml:space="preserve"> — youtube.com/watch?v=hEh_6otWzNs</w:t>
      </w:r>
    </w:p>
    <w:p>
      <w:pPr>
        <w:spacing w:after="200" w:line="288"/>
      </w:pPr>
      <w:r>
        <w:t xml:space="preserve">2. </w:t>
      </w:r>
      <w:r>
        <w:rPr>
          <w:i/>
          <w:iCs/>
        </w:rPr>
        <w:t xml:space="preserve">Classes, Attributes, Object-Oriented Programming</w:t>
      </w:r>
      <w:r>
        <w:t xml:space="preserve"> — youtube.com/watch?v=l_n_7mOqqjs</w:t>
      </w:r>
    </w:p>
    <w:p>
      <w:pPr>
        <w:spacing w:after="200" w:line="288"/>
      </w:pPr>
      <w:r>
        <w:t xml:space="preserve">3. </w:t>
      </w:r>
      <w:r>
        <w:rPr>
          <w:i/>
          <w:iCs/>
        </w:rPr>
        <w:t xml:space="preserve">Computer Science Ethics</w:t>
      </w:r>
      <w:r>
        <w:t xml:space="preserve"> (as labeled on the course schedule) — youtube.com/watch?v=U8M4DlCE2ms</w:t>
      </w:r>
    </w:p>
    <w:p>
      <w:pPr>
        <w:spacing w:after="80" w:before="160"/>
      </w:pPr>
      <w:r>
        <w:rPr>
          <w:b/>
          <w:bCs/>
          <w:i/>
          <w:iCs/>
          <w:sz w:val="22"/>
          <w:szCs w:val="22"/>
        </w:rPr>
        <w:t xml:space="preserve">Getting the transcripts</w:t>
      </w:r>
    </w:p>
    <w:p>
      <w:pPr>
        <w:spacing w:after="200" w:line="288"/>
      </w:pPr>
      <w:r>
        <w:t xml:space="preserve">Same limitation as Week 1: this environment can't reach YouTube's caption endpoints directly, so I couldn't run </w:t>
      </w:r>
      <w:r>
        <w:rPr>
          <w:i/>
          <w:iCs/>
        </w:rPr>
        <w:t xml:space="preserve">lecture_rating_pipeline.py</w:t>
      </w:r>
      <w:r>
        <w:t xml:space="preserve"> against these videos yet. Instead I pulled a transcript summary for each through a third-party transcript tool and read through what it returned. That means the scores below are me applying the rubric by hand to a summarized transcript, not the automated Stage 3 LLM judge — closer to the MIT pilot than to a real pipeline run. I'm flagging this every week until it's actually fixed, because it's the one piece of the plan that hasn't moved since Week 1.</w:t>
      </w:r>
    </w:p>
    <w:p>
      <w:pPr>
        <w:spacing w:after="80" w:before="160"/>
      </w:pPr>
      <w:r>
        <w:rPr>
          <w:b/>
          <w:bCs/>
          <w:i/>
          <w:iCs/>
          <w:sz w:val="22"/>
          <w:szCs w:val="22"/>
        </w:rPr>
        <w:t xml:space="preserve">Scoring</w:t>
      </w:r>
    </w:p>
    <w:p>
      <w:pPr>
        <w:spacing w:after="200" w:line="288"/>
      </w:pPr>
      <w:r>
        <w:t xml:space="preserve">Each lecture was scored against the same four-dimension matrix from the Week 1 report — Topic Coverage, Examples, Implementation, and Delivery &amp; Structure — using the sub-criteria defined there (TC1–TC4, EX1–EX3, IM1–IM3, DS1–DS3). I scored conservatively: if the transcript summary didn't clearly show something (code being run, a question posed to students), I scored that sub-criterion low rather than assuming it happened off-screen.</w:t>
      </w:r>
    </w:p>
    <w:p>
      <w:pPr>
        <w:spacing w:after="120" w:before="240"/>
      </w:pPr>
      <w:r>
        <w:rPr>
          <w:b/>
          <w:bCs/>
          <w:sz w:val="24"/>
          <w:szCs w:val="24"/>
        </w:rPr>
        <w:t xml:space="preserve">3. Results at a Glance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400"/>
        <w:gridCol w:w="1400"/>
        <w:gridCol w:w="1400"/>
      </w:tblGrid>
      <w:tr>
        <w:trPr>
          <w:tblHeader/>
        </w:trPr>
        <w:tc>
          <w:tcPr>
            <w:tcW w:type="dxa" w:w="3600"/>
            <w:shd w:fill="D9D9D9" w:color="auto" w:val="clear"/>
            <w:tcMar>
              <w:top w:type="dxa" w:w="80"/>
              <w:left w:type="dxa" w:w="100"/>
              <w:bottom w:type="dxa" w:w="80"/>
              <w:right w:type="dxa" w:w="100"/>
            </w:tcMar>
          </w:tcPr>
          <w:p>
            <w:pPr>
              <w:jc w:val="left"/>
            </w:pPr>
            <w:r>
              <w:rPr>
                <w:rFonts w:ascii="Times New Roman" w:cs="Times New Roman" w:eastAsia="Times New Roman" w:hAnsi="Times New Roman"/>
                <w:b/>
                <w:bCs/>
                <w:i w:val="false"/>
                <w:iCs w:val="false"/>
                <w:sz w:val="20"/>
                <w:szCs w:val="20"/>
              </w:rPr>
              <w:t xml:space="preserve">Lecture</w:t>
            </w:r>
          </w:p>
        </w:tc>
        <w:tc>
          <w:tcPr>
            <w:tcW w:type="dxa" w:w="1400"/>
            <w:shd w:fill="D9D9D9" w:color="auto"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0"/>
                <w:szCs w:val="20"/>
              </w:rPr>
              <w:t xml:space="preserve">Coverage</w:t>
            </w:r>
          </w:p>
        </w:tc>
        <w:tc>
          <w:tcPr>
            <w:tcW w:type="dxa" w:w="1400"/>
            <w:shd w:fill="D9D9D9" w:color="auto"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0"/>
                <w:szCs w:val="20"/>
              </w:rPr>
              <w:t xml:space="preserve">Examples</w:t>
            </w:r>
          </w:p>
        </w:tc>
        <w:tc>
          <w:tcPr>
            <w:tcW w:type="dxa" w:w="1400"/>
            <w:shd w:fill="D9D9D9" w:color="auto"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0"/>
                <w:szCs w:val="20"/>
              </w:rPr>
              <w:t xml:space="preserve">Implementation</w:t>
            </w:r>
          </w:p>
        </w:tc>
        <w:tc>
          <w:tcPr>
            <w:tcW w:type="dxa" w:w="1400"/>
            <w:shd w:fill="D9D9D9" w:color="auto"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0"/>
                <w:szCs w:val="20"/>
              </w:rPr>
              <w:t xml:space="preserve">Total</w:t>
            </w:r>
          </w:p>
        </w:tc>
      </w:tr>
      <w:tr>
        <w:tc>
          <w:tcPr>
            <w:tcW w:type="dxa" w:w="3600"/>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0"/>
                <w:szCs w:val="20"/>
              </w:rPr>
              <w:t xml:space="preserve">2D Lists / Nested Loops</w:t>
            </w:r>
          </w:p>
        </w:tc>
        <w:tc>
          <w:tcPr>
            <w:tcW w:type="dxa" w:w="1400"/>
            <w:tcMar>
              <w:top w:type="dxa" w:w="80"/>
              <w:left w:type="dxa" w:w="100"/>
              <w:bottom w:type="dxa" w:w="80"/>
              <w:right w:type="dxa" w:w="100"/>
            </w:tcMar>
          </w:tcPr>
          <w:p>
            <w:pPr>
              <w:jc w:val="center"/>
            </w:pPr>
            <w:r>
              <w:rPr>
                <w:rFonts w:ascii="Times New Roman" w:cs="Times New Roman" w:eastAsia="Times New Roman" w:hAnsi="Times New Roman"/>
                <w:b w:val="false"/>
                <w:bCs w:val="false"/>
                <w:i w:val="false"/>
                <w:iCs w:val="false"/>
                <w:sz w:val="20"/>
                <w:szCs w:val="20"/>
              </w:rPr>
              <w:t xml:space="preserve">3.5 / 3.5</w:t>
            </w:r>
          </w:p>
        </w:tc>
        <w:tc>
          <w:tcPr>
            <w:tcW w:type="dxa" w:w="1400"/>
            <w:tcMar>
              <w:top w:type="dxa" w:w="80"/>
              <w:left w:type="dxa" w:w="100"/>
              <w:bottom w:type="dxa" w:w="80"/>
              <w:right w:type="dxa" w:w="100"/>
            </w:tcMar>
          </w:tcPr>
          <w:p>
            <w:pPr>
              <w:jc w:val="center"/>
            </w:pPr>
            <w:r>
              <w:rPr>
                <w:rFonts w:ascii="Times New Roman" w:cs="Times New Roman" w:eastAsia="Times New Roman" w:hAnsi="Times New Roman"/>
                <w:b w:val="false"/>
                <w:bCs w:val="false"/>
                <w:i w:val="false"/>
                <w:iCs w:val="false"/>
                <w:sz w:val="20"/>
                <w:szCs w:val="20"/>
              </w:rPr>
              <w:t xml:space="preserve">2.0 / 2.0</w:t>
            </w:r>
          </w:p>
        </w:tc>
        <w:tc>
          <w:tcPr>
            <w:tcW w:type="dxa" w:w="1400"/>
            <w:tcMar>
              <w:top w:type="dxa" w:w="80"/>
              <w:left w:type="dxa" w:w="100"/>
              <w:bottom w:type="dxa" w:w="80"/>
              <w:right w:type="dxa" w:w="100"/>
            </w:tcMar>
          </w:tcPr>
          <w:p>
            <w:pPr>
              <w:jc w:val="center"/>
            </w:pPr>
            <w:r>
              <w:rPr>
                <w:rFonts w:ascii="Times New Roman" w:cs="Times New Roman" w:eastAsia="Times New Roman" w:hAnsi="Times New Roman"/>
                <w:b w:val="false"/>
                <w:bCs w:val="false"/>
                <w:i w:val="false"/>
                <w:iCs w:val="false"/>
                <w:sz w:val="20"/>
                <w:szCs w:val="20"/>
              </w:rPr>
              <w:t xml:space="preserve">2.0 / 3.0</w:t>
            </w:r>
          </w:p>
        </w:tc>
        <w:tc>
          <w:tcPr>
            <w:tcW w:type="dxa" w:w="1400"/>
            <w:tcMar>
              <w:top w:type="dxa" w:w="80"/>
              <w:left w:type="dxa" w:w="100"/>
              <w:bottom w:type="dxa" w:w="80"/>
              <w:right w:type="dxa" w:w="100"/>
            </w:tcMar>
          </w:tcPr>
          <w:p>
            <w:pPr>
              <w:jc w:val="center"/>
            </w:pPr>
            <w:r>
              <w:rPr>
                <w:rFonts w:ascii="Times New Roman" w:cs="Times New Roman" w:eastAsia="Times New Roman" w:hAnsi="Times New Roman"/>
                <w:b w:val="false"/>
                <w:bCs w:val="false"/>
                <w:i w:val="false"/>
                <w:iCs w:val="false"/>
                <w:sz w:val="20"/>
                <w:szCs w:val="20"/>
              </w:rPr>
              <w:t xml:space="preserve">9.0 / 10</w:t>
            </w:r>
          </w:p>
        </w:tc>
      </w:tr>
      <w:tr>
        <w:tc>
          <w:tcPr>
            <w:tcW w:type="dxa" w:w="3600"/>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0"/>
                <w:szCs w:val="20"/>
              </w:rPr>
              <w:t xml:space="preserve">Classes / OOP</w:t>
            </w:r>
          </w:p>
        </w:tc>
        <w:tc>
          <w:tcPr>
            <w:tcW w:type="dxa" w:w="1400"/>
            <w:tcMar>
              <w:top w:type="dxa" w:w="80"/>
              <w:left w:type="dxa" w:w="100"/>
              <w:bottom w:type="dxa" w:w="80"/>
              <w:right w:type="dxa" w:w="100"/>
            </w:tcMar>
          </w:tcPr>
          <w:p>
            <w:pPr>
              <w:jc w:val="center"/>
            </w:pPr>
            <w:r>
              <w:rPr>
                <w:rFonts w:ascii="Times New Roman" w:cs="Times New Roman" w:eastAsia="Times New Roman" w:hAnsi="Times New Roman"/>
                <w:b w:val="false"/>
                <w:bCs w:val="false"/>
                <w:i w:val="false"/>
                <w:iCs w:val="false"/>
                <w:sz w:val="20"/>
                <w:szCs w:val="20"/>
              </w:rPr>
              <w:t xml:space="preserve">3.5 / 3.5</w:t>
            </w:r>
          </w:p>
        </w:tc>
        <w:tc>
          <w:tcPr>
            <w:tcW w:type="dxa" w:w="1400"/>
            <w:tcMar>
              <w:top w:type="dxa" w:w="80"/>
              <w:left w:type="dxa" w:w="100"/>
              <w:bottom w:type="dxa" w:w="80"/>
              <w:right w:type="dxa" w:w="100"/>
            </w:tcMar>
          </w:tcPr>
          <w:p>
            <w:pPr>
              <w:jc w:val="center"/>
            </w:pPr>
            <w:r>
              <w:rPr>
                <w:rFonts w:ascii="Times New Roman" w:cs="Times New Roman" w:eastAsia="Times New Roman" w:hAnsi="Times New Roman"/>
                <w:b w:val="false"/>
                <w:bCs w:val="false"/>
                <w:i w:val="false"/>
                <w:iCs w:val="false"/>
                <w:sz w:val="20"/>
                <w:szCs w:val="20"/>
              </w:rPr>
              <w:t xml:space="preserve">2.0 / 2.0</w:t>
            </w:r>
          </w:p>
        </w:tc>
        <w:tc>
          <w:tcPr>
            <w:tcW w:type="dxa" w:w="1400"/>
            <w:tcMar>
              <w:top w:type="dxa" w:w="80"/>
              <w:left w:type="dxa" w:w="100"/>
              <w:bottom w:type="dxa" w:w="80"/>
              <w:right w:type="dxa" w:w="100"/>
            </w:tcMar>
          </w:tcPr>
          <w:p>
            <w:pPr>
              <w:jc w:val="center"/>
            </w:pPr>
            <w:r>
              <w:rPr>
                <w:rFonts w:ascii="Times New Roman" w:cs="Times New Roman" w:eastAsia="Times New Roman" w:hAnsi="Times New Roman"/>
                <w:b w:val="false"/>
                <w:bCs w:val="false"/>
                <w:i w:val="false"/>
                <w:iCs w:val="false"/>
                <w:sz w:val="20"/>
                <w:szCs w:val="20"/>
              </w:rPr>
              <w:t xml:space="preserve">2.5 / 3.0</w:t>
            </w:r>
          </w:p>
        </w:tc>
        <w:tc>
          <w:tcPr>
            <w:tcW w:type="dxa" w:w="1400"/>
            <w:tcMar>
              <w:top w:type="dxa" w:w="80"/>
              <w:left w:type="dxa" w:w="100"/>
              <w:bottom w:type="dxa" w:w="80"/>
              <w:right w:type="dxa" w:w="100"/>
            </w:tcMar>
          </w:tcPr>
          <w:p>
            <w:pPr>
              <w:jc w:val="center"/>
            </w:pPr>
            <w:r>
              <w:rPr>
                <w:rFonts w:ascii="Times New Roman" w:cs="Times New Roman" w:eastAsia="Times New Roman" w:hAnsi="Times New Roman"/>
                <w:b w:val="false"/>
                <w:bCs w:val="false"/>
                <w:i w:val="false"/>
                <w:iCs w:val="false"/>
                <w:sz w:val="20"/>
                <w:szCs w:val="20"/>
              </w:rPr>
              <w:t xml:space="preserve">9.0 / 10</w:t>
            </w:r>
          </w:p>
        </w:tc>
      </w:tr>
      <w:tr>
        <w:tc>
          <w:tcPr>
            <w:tcW w:type="dxa" w:w="3600"/>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0"/>
                <w:szCs w:val="20"/>
              </w:rPr>
              <w:t xml:space="preserve">"CS Ethics" (announcements clip)</w:t>
            </w:r>
          </w:p>
        </w:tc>
        <w:tc>
          <w:tcPr>
            <w:tcW w:type="dxa" w:w="1400"/>
            <w:tcMar>
              <w:top w:type="dxa" w:w="80"/>
              <w:left w:type="dxa" w:w="100"/>
              <w:bottom w:type="dxa" w:w="80"/>
              <w:right w:type="dxa" w:w="100"/>
            </w:tcMar>
          </w:tcPr>
          <w:p>
            <w:pPr>
              <w:jc w:val="center"/>
            </w:pPr>
            <w:r>
              <w:rPr>
                <w:rFonts w:ascii="Times New Roman" w:cs="Times New Roman" w:eastAsia="Times New Roman" w:hAnsi="Times New Roman"/>
                <w:b w:val="false"/>
                <w:bCs w:val="false"/>
                <w:i w:val="false"/>
                <w:iCs w:val="false"/>
                <w:sz w:val="20"/>
                <w:szCs w:val="20"/>
              </w:rPr>
              <w:t xml:space="preserve">0.0 / 3.5</w:t>
            </w:r>
          </w:p>
        </w:tc>
        <w:tc>
          <w:tcPr>
            <w:tcW w:type="dxa" w:w="1400"/>
            <w:tcMar>
              <w:top w:type="dxa" w:w="80"/>
              <w:left w:type="dxa" w:w="100"/>
              <w:bottom w:type="dxa" w:w="80"/>
              <w:right w:type="dxa" w:w="100"/>
            </w:tcMar>
          </w:tcPr>
          <w:p>
            <w:pPr>
              <w:jc w:val="center"/>
            </w:pPr>
            <w:r>
              <w:rPr>
                <w:rFonts w:ascii="Times New Roman" w:cs="Times New Roman" w:eastAsia="Times New Roman" w:hAnsi="Times New Roman"/>
                <w:b w:val="false"/>
                <w:bCs w:val="false"/>
                <w:i w:val="false"/>
                <w:iCs w:val="false"/>
                <w:sz w:val="20"/>
                <w:szCs w:val="20"/>
              </w:rPr>
              <w:t xml:space="preserve">0.0 / 2.0</w:t>
            </w:r>
          </w:p>
        </w:tc>
        <w:tc>
          <w:tcPr>
            <w:tcW w:type="dxa" w:w="1400"/>
            <w:tcMar>
              <w:top w:type="dxa" w:w="80"/>
              <w:left w:type="dxa" w:w="100"/>
              <w:bottom w:type="dxa" w:w="80"/>
              <w:right w:type="dxa" w:w="100"/>
            </w:tcMar>
          </w:tcPr>
          <w:p>
            <w:pPr>
              <w:jc w:val="center"/>
            </w:pPr>
            <w:r>
              <w:rPr>
                <w:rFonts w:ascii="Times New Roman" w:cs="Times New Roman" w:eastAsia="Times New Roman" w:hAnsi="Times New Roman"/>
                <w:b w:val="false"/>
                <w:bCs w:val="false"/>
                <w:i w:val="false"/>
                <w:iCs w:val="false"/>
                <w:sz w:val="20"/>
                <w:szCs w:val="20"/>
              </w:rPr>
              <w:t xml:space="preserve">0.0 / 3.0</w:t>
            </w:r>
          </w:p>
        </w:tc>
        <w:tc>
          <w:tcPr>
            <w:tcW w:type="dxa" w:w="1400"/>
            <w:tcMar>
              <w:top w:type="dxa" w:w="80"/>
              <w:left w:type="dxa" w:w="100"/>
              <w:bottom w:type="dxa" w:w="80"/>
              <w:right w:type="dxa" w:w="100"/>
            </w:tcMar>
          </w:tcPr>
          <w:p>
            <w:pPr>
              <w:jc w:val="center"/>
            </w:pPr>
            <w:r>
              <w:rPr>
                <w:rFonts w:ascii="Times New Roman" w:cs="Times New Roman" w:eastAsia="Times New Roman" w:hAnsi="Times New Roman"/>
                <w:b w:val="false"/>
                <w:bCs w:val="false"/>
                <w:i w:val="false"/>
                <w:iCs w:val="false"/>
                <w:sz w:val="20"/>
                <w:szCs w:val="20"/>
              </w:rPr>
              <w:t xml:space="preserve">1.0 / 10</w:t>
            </w:r>
          </w:p>
        </w:tc>
      </w:tr>
    </w:tbl>
    <w:p>
      <w:pPr>
        <w:spacing w:after="200" w:before="160"/>
      </w:pPr>
      <w:r>
        <w:t xml:space="preserve">Two of the three scored consistently high and for similar reasons. The third is the one worth reading closely.</w:t>
      </w:r>
    </w:p>
    <w:p>
      <w:pPr>
        <w:spacing w:after="120" w:before="240"/>
      </w:pPr>
      <w:r>
        <w:rPr>
          <w:b/>
          <w:bCs/>
          <w:sz w:val="24"/>
          <w:szCs w:val="24"/>
        </w:rPr>
        <w:t xml:space="preserve">4. Lecture-by-Lecture Detail</w:t>
      </w:r>
    </w:p>
    <w:p>
      <w:pPr>
        <w:spacing w:after="80" w:before="160"/>
      </w:pPr>
      <w:r>
        <w:rPr>
          <w:b/>
          <w:bCs/>
          <w:i/>
          <w:iCs/>
          <w:sz w:val="22"/>
          <w:szCs w:val="22"/>
        </w:rPr>
        <w:t xml:space="preserve">4.1 — 2D Lists, Nested For Loops, Images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900"/>
        <w:gridCol w:w="900"/>
      </w:tblGrid>
      <w:tr>
        <w:trPr>
          <w:tblHeader/>
        </w:trPr>
        <w:tc>
          <w:tcPr>
            <w:tcW w:type="dxa" w:w="2600"/>
            <w:shd w:fill="D9D9D9" w:color="auto" w:val="clear"/>
            <w:tcMar>
              <w:top w:type="dxa" w:w="80"/>
              <w:left w:type="dxa" w:w="100"/>
              <w:bottom w:type="dxa" w:w="80"/>
              <w:right w:type="dxa" w:w="100"/>
            </w:tcMar>
          </w:tcPr>
          <w:p>
            <w:pPr>
              <w:jc w:val="left"/>
            </w:pPr>
            <w:r>
              <w:rPr>
                <w:rFonts w:ascii="Times New Roman" w:cs="Times New Roman" w:eastAsia="Times New Roman" w:hAnsi="Times New Roman"/>
                <w:b/>
                <w:bCs/>
                <w:i w:val="false"/>
                <w:iCs w:val="false"/>
                <w:sz w:val="20"/>
                <w:szCs w:val="20"/>
              </w:rPr>
              <w:t xml:space="preserve">Dimension</w:t>
            </w:r>
          </w:p>
        </w:tc>
        <w:tc>
          <w:tcPr>
            <w:tcW w:type="dxa" w:w="3800"/>
            <w:shd w:fill="D9D9D9" w:color="auto" w:val="clear"/>
            <w:tcMar>
              <w:top w:type="dxa" w:w="80"/>
              <w:left w:type="dxa" w:w="100"/>
              <w:bottom w:type="dxa" w:w="80"/>
              <w:right w:type="dxa" w:w="100"/>
            </w:tcMar>
          </w:tcPr>
          <w:p>
            <w:pPr>
              <w:jc w:val="left"/>
            </w:pPr>
            <w:r>
              <w:rPr>
                <w:rFonts w:ascii="Times New Roman" w:cs="Times New Roman" w:eastAsia="Times New Roman" w:hAnsi="Times New Roman"/>
                <w:b/>
                <w:bCs/>
                <w:i w:val="false"/>
                <w:iCs w:val="false"/>
                <w:sz w:val="20"/>
                <w:szCs w:val="20"/>
              </w:rPr>
              <w:t xml:space="preserve">Sub-scores</w:t>
            </w:r>
          </w:p>
        </w:tc>
        <w:tc>
          <w:tcPr>
            <w:tcW w:type="dxa" w:w="900"/>
            <w:shd w:fill="D9D9D9" w:color="auto"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0"/>
                <w:szCs w:val="20"/>
              </w:rPr>
              <w:t xml:space="preserve">Score</w:t>
            </w:r>
          </w:p>
        </w:tc>
        <w:tc>
          <w:tcPr>
            <w:tcW w:type="dxa" w:w="900"/>
            <w:shd w:fill="D9D9D9" w:color="auto"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0"/>
                <w:szCs w:val="20"/>
              </w:rPr>
              <w:t xml:space="preserve">Max</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0"/>
                <w:szCs w:val="20"/>
              </w:rPr>
              <w:t xml:space="preserve">Topic Coverage</w:t>
            </w:r>
          </w:p>
        </w:tc>
        <w:tc>
          <w:tcPr>
            <w:tcW w:type="dxa" w:w="3800"/>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0"/>
                <w:szCs w:val="20"/>
              </w:rPr>
              <w:t xml:space="preserve">TC1=1.0, TC2=1.0, TC3=1.0, TC4=0.5</w:t>
            </w:r>
          </w:p>
        </w:tc>
        <w:tc>
          <w:tcPr>
            <w:tcW w:type="dxa" w:w="900"/>
            <w:tcMar>
              <w:top w:type="dxa" w:w="80"/>
              <w:left w:type="dxa" w:w="100"/>
              <w:bottom w:type="dxa" w:w="80"/>
              <w:right w:type="dxa" w:w="100"/>
            </w:tcMar>
          </w:tcPr>
          <w:p>
            <w:pPr>
              <w:jc w:val="center"/>
            </w:pPr>
            <w:r>
              <w:rPr>
                <w:rFonts w:ascii="Times New Roman" w:cs="Times New Roman" w:eastAsia="Times New Roman" w:hAnsi="Times New Roman"/>
                <w:b w:val="false"/>
                <w:bCs w:val="false"/>
                <w:i w:val="false"/>
                <w:iCs w:val="false"/>
                <w:sz w:val="20"/>
                <w:szCs w:val="20"/>
              </w:rPr>
              <w:t xml:space="preserve">3.5</w:t>
            </w:r>
          </w:p>
        </w:tc>
        <w:tc>
          <w:tcPr>
            <w:tcW w:type="dxa" w:w="900"/>
            <w:tcMar>
              <w:top w:type="dxa" w:w="80"/>
              <w:left w:type="dxa" w:w="100"/>
              <w:bottom w:type="dxa" w:w="80"/>
              <w:right w:type="dxa" w:w="100"/>
            </w:tcMar>
          </w:tcPr>
          <w:p>
            <w:pPr>
              <w:jc w:val="center"/>
            </w:pPr>
            <w:r>
              <w:rPr>
                <w:rFonts w:ascii="Times New Roman" w:cs="Times New Roman" w:eastAsia="Times New Roman" w:hAnsi="Times New Roman"/>
                <w:b w:val="false"/>
                <w:bCs w:val="false"/>
                <w:i w:val="false"/>
                <w:iCs w:val="false"/>
                <w:sz w:val="20"/>
                <w:szCs w:val="20"/>
              </w:rPr>
              <w:t xml:space="preserve">3.5</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0"/>
                <w:szCs w:val="20"/>
              </w:rPr>
              <w:t xml:space="preserve">Examples</w:t>
            </w:r>
          </w:p>
        </w:tc>
        <w:tc>
          <w:tcPr>
            <w:tcW w:type="dxa" w:w="3800"/>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0"/>
                <w:szCs w:val="20"/>
              </w:rPr>
              <w:t xml:space="preserve">EX1=1.0, EX2=0.5, EX3=0.5</w:t>
            </w:r>
          </w:p>
        </w:tc>
        <w:tc>
          <w:tcPr>
            <w:tcW w:type="dxa" w:w="900"/>
            <w:tcMar>
              <w:top w:type="dxa" w:w="80"/>
              <w:left w:type="dxa" w:w="100"/>
              <w:bottom w:type="dxa" w:w="80"/>
              <w:right w:type="dxa" w:w="100"/>
            </w:tcMar>
          </w:tcPr>
          <w:p>
            <w:pPr>
              <w:jc w:val="center"/>
            </w:pPr>
            <w:r>
              <w:rPr>
                <w:rFonts w:ascii="Times New Roman" w:cs="Times New Roman" w:eastAsia="Times New Roman" w:hAnsi="Times New Roman"/>
                <w:b w:val="false"/>
                <w:bCs w:val="false"/>
                <w:i w:val="false"/>
                <w:iCs w:val="false"/>
                <w:sz w:val="20"/>
                <w:szCs w:val="20"/>
              </w:rPr>
              <w:t xml:space="preserve">2.0</w:t>
            </w:r>
          </w:p>
        </w:tc>
        <w:tc>
          <w:tcPr>
            <w:tcW w:type="dxa" w:w="900"/>
            <w:tcMar>
              <w:top w:type="dxa" w:w="80"/>
              <w:left w:type="dxa" w:w="100"/>
              <w:bottom w:type="dxa" w:w="80"/>
              <w:right w:type="dxa" w:w="100"/>
            </w:tcMar>
          </w:tcPr>
          <w:p>
            <w:pPr>
              <w:jc w:val="center"/>
            </w:pPr>
            <w:r>
              <w:rPr>
                <w:rFonts w:ascii="Times New Roman" w:cs="Times New Roman" w:eastAsia="Times New Roman" w:hAnsi="Times New Roman"/>
                <w:b w:val="false"/>
                <w:bCs w:val="false"/>
                <w:i w:val="false"/>
                <w:iCs w:val="false"/>
                <w:sz w:val="20"/>
                <w:szCs w:val="20"/>
              </w:rPr>
              <w:t xml:space="preserve">2.0</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0"/>
                <w:szCs w:val="20"/>
              </w:rPr>
              <w:t xml:space="preserve">Implementation</w:t>
            </w:r>
          </w:p>
        </w:tc>
        <w:tc>
          <w:tcPr>
            <w:tcW w:type="dxa" w:w="3800"/>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0"/>
                <w:szCs w:val="20"/>
              </w:rPr>
              <w:t xml:space="preserve">IM1=1.0, IM2=0.5, IM3=0.5</w:t>
            </w:r>
          </w:p>
        </w:tc>
        <w:tc>
          <w:tcPr>
            <w:tcW w:type="dxa" w:w="900"/>
            <w:tcMar>
              <w:top w:type="dxa" w:w="80"/>
              <w:left w:type="dxa" w:w="100"/>
              <w:bottom w:type="dxa" w:w="80"/>
              <w:right w:type="dxa" w:w="100"/>
            </w:tcMar>
          </w:tcPr>
          <w:p>
            <w:pPr>
              <w:jc w:val="center"/>
            </w:pPr>
            <w:r>
              <w:rPr>
                <w:rFonts w:ascii="Times New Roman" w:cs="Times New Roman" w:eastAsia="Times New Roman" w:hAnsi="Times New Roman"/>
                <w:b w:val="false"/>
                <w:bCs w:val="false"/>
                <w:i w:val="false"/>
                <w:iCs w:val="false"/>
                <w:sz w:val="20"/>
                <w:szCs w:val="20"/>
              </w:rPr>
              <w:t xml:space="preserve">2.0</w:t>
            </w:r>
          </w:p>
        </w:tc>
        <w:tc>
          <w:tcPr>
            <w:tcW w:type="dxa" w:w="900"/>
            <w:tcMar>
              <w:top w:type="dxa" w:w="80"/>
              <w:left w:type="dxa" w:w="100"/>
              <w:bottom w:type="dxa" w:w="80"/>
              <w:right w:type="dxa" w:w="100"/>
            </w:tcMar>
          </w:tcPr>
          <w:p>
            <w:pPr>
              <w:jc w:val="center"/>
            </w:pPr>
            <w:r>
              <w:rPr>
                <w:rFonts w:ascii="Times New Roman" w:cs="Times New Roman" w:eastAsia="Times New Roman" w:hAnsi="Times New Roman"/>
                <w:b w:val="false"/>
                <w:bCs w:val="false"/>
                <w:i w:val="false"/>
                <w:iCs w:val="false"/>
                <w:sz w:val="20"/>
                <w:szCs w:val="20"/>
              </w:rPr>
              <w:t xml:space="preserve">3.0</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0"/>
                <w:szCs w:val="20"/>
              </w:rPr>
              <w:t xml:space="preserve">Delivery &amp; Structure</w:t>
            </w:r>
          </w:p>
        </w:tc>
        <w:tc>
          <w:tcPr>
            <w:tcW w:type="dxa" w:w="3800"/>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0"/>
                <w:szCs w:val="20"/>
              </w:rPr>
              <w:t xml:space="preserve">DS1=0.5, DS2=0.5, DS3=0.5</w:t>
            </w:r>
          </w:p>
        </w:tc>
        <w:tc>
          <w:tcPr>
            <w:tcW w:type="dxa" w:w="900"/>
            <w:tcMar>
              <w:top w:type="dxa" w:w="80"/>
              <w:left w:type="dxa" w:w="100"/>
              <w:bottom w:type="dxa" w:w="80"/>
              <w:right w:type="dxa" w:w="100"/>
            </w:tcMar>
          </w:tcPr>
          <w:p>
            <w:pPr>
              <w:jc w:val="center"/>
            </w:pPr>
            <w:r>
              <w:rPr>
                <w:rFonts w:ascii="Times New Roman" w:cs="Times New Roman" w:eastAsia="Times New Roman" w:hAnsi="Times New Roman"/>
                <w:b w:val="false"/>
                <w:bCs w:val="false"/>
                <w:i w:val="false"/>
                <w:iCs w:val="false"/>
                <w:sz w:val="20"/>
                <w:szCs w:val="20"/>
              </w:rPr>
              <w:t xml:space="preserve">1.5</w:t>
            </w:r>
          </w:p>
        </w:tc>
        <w:tc>
          <w:tcPr>
            <w:tcW w:type="dxa" w:w="900"/>
            <w:tcMar>
              <w:top w:type="dxa" w:w="80"/>
              <w:left w:type="dxa" w:w="100"/>
              <w:bottom w:type="dxa" w:w="80"/>
              <w:right w:type="dxa" w:w="100"/>
            </w:tcMar>
          </w:tcPr>
          <w:p>
            <w:pPr>
              <w:jc w:val="center"/>
            </w:pPr>
            <w:r>
              <w:rPr>
                <w:rFonts w:ascii="Times New Roman" w:cs="Times New Roman" w:eastAsia="Times New Roman" w:hAnsi="Times New Roman"/>
                <w:b w:val="false"/>
                <w:bCs w:val="false"/>
                <w:i w:val="false"/>
                <w:iCs w:val="false"/>
                <w:sz w:val="20"/>
                <w:szCs w:val="20"/>
              </w:rPr>
              <w:t xml:space="preserve">1.5</w:t>
            </w:r>
          </w:p>
        </w:tc>
      </w:tr>
      <w:tr>
        <w:tc>
          <w:tcPr>
            <w:tcW w:type="dxa" w:w="2600"/>
            <w:shd w:fill="F2F2F2" w:color="auto" w:val="clear"/>
            <w:tcMar>
              <w:top w:type="dxa" w:w="80"/>
              <w:left w:type="dxa" w:w="100"/>
              <w:bottom w:type="dxa" w:w="80"/>
              <w:right w:type="dxa" w:w="100"/>
            </w:tcMar>
          </w:tcPr>
          <w:p>
            <w:pPr>
              <w:jc w:val="left"/>
            </w:pPr>
            <w:r>
              <w:rPr>
                <w:rFonts w:ascii="Times New Roman" w:cs="Times New Roman" w:eastAsia="Times New Roman" w:hAnsi="Times New Roman"/>
                <w:b/>
                <w:bCs/>
                <w:i w:val="false"/>
                <w:iCs w:val="false"/>
                <w:sz w:val="20"/>
                <w:szCs w:val="20"/>
              </w:rPr>
              <w:t xml:space="preserve">Total</w:t>
            </w:r>
          </w:p>
        </w:tc>
        <w:tc>
          <w:tcPr>
            <w:tcW w:type="dxa" w:w="3800"/>
            <w:shd w:fill="F2F2F2" w:color="auto" w:val="clear"/>
            <w:tcMar>
              <w:top w:type="dxa" w:w="80"/>
              <w:left w:type="dxa" w:w="100"/>
              <w:bottom w:type="dxa" w:w="80"/>
              <w:right w:type="dxa" w:w="100"/>
            </w:tcMar>
          </w:tcPr>
          <w:p>
            <w:pPr>
              <w:jc w:val="left"/>
            </w:pPr>
            <w:r>
              <w:rPr>
                <w:rFonts w:ascii="Times New Roman" w:cs="Times New Roman" w:eastAsia="Times New Roman" w:hAnsi="Times New Roman"/>
                <w:b/>
                <w:bCs/>
                <w:i w:val="false"/>
                <w:iCs w:val="false"/>
                <w:sz w:val="20"/>
                <w:szCs w:val="20"/>
              </w:rPr>
              <w:t xml:space="preserve"/>
            </w:r>
          </w:p>
        </w:tc>
        <w:tc>
          <w:tcPr>
            <w:tcW w:type="dxa" w:w="900"/>
            <w:shd w:fill="F2F2F2" w:color="auto"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0"/>
                <w:szCs w:val="20"/>
              </w:rPr>
              <w:t xml:space="preserve">9.0</w:t>
            </w:r>
          </w:p>
        </w:tc>
        <w:tc>
          <w:tcPr>
            <w:tcW w:type="dxa" w:w="900"/>
            <w:shd w:fill="F2F2F2" w:color="auto"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0"/>
                <w:szCs w:val="20"/>
              </w:rPr>
              <w:t xml:space="preserve">10.0</w:t>
            </w:r>
          </w:p>
        </w:tc>
      </w:tr>
    </w:tbl>
    <w:p>
      <w:pPr>
        <w:spacing w:after="200" w:line="288"/>
      </w:pPr>
      <w:r>
        <w:t xml:space="preserve">Topic Coverage scored a full 3.5 because the lecture explicitly ties back to material from earlier in the course (lists, loops) before introducing the new idea, which is exactly what TC4 (coherence with prerequisites) is looking for, and the explanation goes past just naming two-dimensional lists into how indexing actually works. Examples scored close to full marks too: the instructor uses a single running example — a classroom seating chart, with named students at specific rows and columns — and walks through it step by step rather than stating the concept and moving on, which is what EX3 rewards. The one place it lost half a point (EX2, variety) is that it's one example worked in depth rather than several different ones.</w:t>
      </w:r>
    </w:p>
    <w:p>
      <w:pPr>
        <w:spacing w:after="200" w:line="288"/>
      </w:pPr>
      <w:r>
        <w:t xml:space="preserve">Implementation is where this lecture lost the most ground. It does show real Python syntax — indexing an entry like </w:t>
      </w:r>
      <w:r>
        <w:rPr>
          <w:i/>
          <w:iCs/>
        </w:rPr>
        <w:t xml:space="preserve">seating[0][1]</w:t>
      </w:r>
      <w:r>
        <w:t xml:space="preserve"> rather than only describing the idea in English — which is enough for IM1. But the transcript summary never shows code actually being executed with visible output, so I couldn't confirm IM2 (correctness of what's shown) the way the rubric asks, and scored it at half credit rather than full or zero. Delivery &amp; Structure scored full marks: the lecture is clearly framed against prior material, and includes practice problems asking students to identify specific indices, which is a direct, concrete form of engagement (DS3) rather than a vague sense that the lecture was interactive.</w:t>
      </w:r>
    </w:p>
    <w:p>
      <w:pPr>
        <w:spacing w:after="80" w:before="160"/>
      </w:pPr>
      <w:r>
        <w:rPr>
          <w:b/>
          <w:bCs/>
          <w:i/>
          <w:iCs/>
          <w:sz w:val="22"/>
          <w:szCs w:val="22"/>
        </w:rPr>
        <w:t xml:space="preserve">4.2 — Classes, Attributes, Object-Oriented Programming</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900"/>
        <w:gridCol w:w="900"/>
      </w:tblGrid>
      <w:tr>
        <w:trPr>
          <w:tblHeader/>
        </w:trPr>
        <w:tc>
          <w:tcPr>
            <w:tcW w:type="dxa" w:w="2600"/>
            <w:shd w:fill="D9D9D9" w:color="auto" w:val="clear"/>
            <w:tcMar>
              <w:top w:type="dxa" w:w="80"/>
              <w:left w:type="dxa" w:w="100"/>
              <w:bottom w:type="dxa" w:w="80"/>
              <w:right w:type="dxa" w:w="100"/>
            </w:tcMar>
          </w:tcPr>
          <w:p>
            <w:pPr>
              <w:jc w:val="left"/>
            </w:pPr>
            <w:r>
              <w:rPr>
                <w:rFonts w:ascii="Times New Roman" w:cs="Times New Roman" w:eastAsia="Times New Roman" w:hAnsi="Times New Roman"/>
                <w:b/>
                <w:bCs/>
                <w:i w:val="false"/>
                <w:iCs w:val="false"/>
                <w:sz w:val="20"/>
                <w:szCs w:val="20"/>
              </w:rPr>
              <w:t xml:space="preserve">Dimension</w:t>
            </w:r>
          </w:p>
        </w:tc>
        <w:tc>
          <w:tcPr>
            <w:tcW w:type="dxa" w:w="3800"/>
            <w:shd w:fill="D9D9D9" w:color="auto" w:val="clear"/>
            <w:tcMar>
              <w:top w:type="dxa" w:w="80"/>
              <w:left w:type="dxa" w:w="100"/>
              <w:bottom w:type="dxa" w:w="80"/>
              <w:right w:type="dxa" w:w="100"/>
            </w:tcMar>
          </w:tcPr>
          <w:p>
            <w:pPr>
              <w:jc w:val="left"/>
            </w:pPr>
            <w:r>
              <w:rPr>
                <w:rFonts w:ascii="Times New Roman" w:cs="Times New Roman" w:eastAsia="Times New Roman" w:hAnsi="Times New Roman"/>
                <w:b/>
                <w:bCs/>
                <w:i w:val="false"/>
                <w:iCs w:val="false"/>
                <w:sz w:val="20"/>
                <w:szCs w:val="20"/>
              </w:rPr>
              <w:t xml:space="preserve">Sub-scores</w:t>
            </w:r>
          </w:p>
        </w:tc>
        <w:tc>
          <w:tcPr>
            <w:tcW w:type="dxa" w:w="900"/>
            <w:shd w:fill="D9D9D9" w:color="auto"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0"/>
                <w:szCs w:val="20"/>
              </w:rPr>
              <w:t xml:space="preserve">Score</w:t>
            </w:r>
          </w:p>
        </w:tc>
        <w:tc>
          <w:tcPr>
            <w:tcW w:type="dxa" w:w="900"/>
            <w:shd w:fill="D9D9D9" w:color="auto"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0"/>
                <w:szCs w:val="20"/>
              </w:rPr>
              <w:t xml:space="preserve">Max</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0"/>
                <w:szCs w:val="20"/>
              </w:rPr>
              <w:t xml:space="preserve">Topic Coverage</w:t>
            </w:r>
          </w:p>
        </w:tc>
        <w:tc>
          <w:tcPr>
            <w:tcW w:type="dxa" w:w="3800"/>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0"/>
                <w:szCs w:val="20"/>
              </w:rPr>
              <w:t xml:space="preserve">TC1=1.0, TC2=1.0, TC3=1.0, TC4=0.5</w:t>
            </w:r>
          </w:p>
        </w:tc>
        <w:tc>
          <w:tcPr>
            <w:tcW w:type="dxa" w:w="900"/>
            <w:tcMar>
              <w:top w:type="dxa" w:w="80"/>
              <w:left w:type="dxa" w:w="100"/>
              <w:bottom w:type="dxa" w:w="80"/>
              <w:right w:type="dxa" w:w="100"/>
            </w:tcMar>
          </w:tcPr>
          <w:p>
            <w:pPr>
              <w:jc w:val="center"/>
            </w:pPr>
            <w:r>
              <w:rPr>
                <w:rFonts w:ascii="Times New Roman" w:cs="Times New Roman" w:eastAsia="Times New Roman" w:hAnsi="Times New Roman"/>
                <w:b w:val="false"/>
                <w:bCs w:val="false"/>
                <w:i w:val="false"/>
                <w:iCs w:val="false"/>
                <w:sz w:val="20"/>
                <w:szCs w:val="20"/>
              </w:rPr>
              <w:t xml:space="preserve">3.5</w:t>
            </w:r>
          </w:p>
        </w:tc>
        <w:tc>
          <w:tcPr>
            <w:tcW w:type="dxa" w:w="900"/>
            <w:tcMar>
              <w:top w:type="dxa" w:w="80"/>
              <w:left w:type="dxa" w:w="100"/>
              <w:bottom w:type="dxa" w:w="80"/>
              <w:right w:type="dxa" w:w="100"/>
            </w:tcMar>
          </w:tcPr>
          <w:p>
            <w:pPr>
              <w:jc w:val="center"/>
            </w:pPr>
            <w:r>
              <w:rPr>
                <w:rFonts w:ascii="Times New Roman" w:cs="Times New Roman" w:eastAsia="Times New Roman" w:hAnsi="Times New Roman"/>
                <w:b w:val="false"/>
                <w:bCs w:val="false"/>
                <w:i w:val="false"/>
                <w:iCs w:val="false"/>
                <w:sz w:val="20"/>
                <w:szCs w:val="20"/>
              </w:rPr>
              <w:t xml:space="preserve">3.5</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0"/>
                <w:szCs w:val="20"/>
              </w:rPr>
              <w:t xml:space="preserve">Examples</w:t>
            </w:r>
          </w:p>
        </w:tc>
        <w:tc>
          <w:tcPr>
            <w:tcW w:type="dxa" w:w="3800"/>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0"/>
                <w:szCs w:val="20"/>
              </w:rPr>
              <w:t xml:space="preserve">EX1=1.0, EX2=0.5, EX3=0.5</w:t>
            </w:r>
          </w:p>
        </w:tc>
        <w:tc>
          <w:tcPr>
            <w:tcW w:type="dxa" w:w="900"/>
            <w:tcMar>
              <w:top w:type="dxa" w:w="80"/>
              <w:left w:type="dxa" w:w="100"/>
              <w:bottom w:type="dxa" w:w="80"/>
              <w:right w:type="dxa" w:w="100"/>
            </w:tcMar>
          </w:tcPr>
          <w:p>
            <w:pPr>
              <w:jc w:val="center"/>
            </w:pPr>
            <w:r>
              <w:rPr>
                <w:rFonts w:ascii="Times New Roman" w:cs="Times New Roman" w:eastAsia="Times New Roman" w:hAnsi="Times New Roman"/>
                <w:b w:val="false"/>
                <w:bCs w:val="false"/>
                <w:i w:val="false"/>
                <w:iCs w:val="false"/>
                <w:sz w:val="20"/>
                <w:szCs w:val="20"/>
              </w:rPr>
              <w:t xml:space="preserve">2.0</w:t>
            </w:r>
          </w:p>
        </w:tc>
        <w:tc>
          <w:tcPr>
            <w:tcW w:type="dxa" w:w="900"/>
            <w:tcMar>
              <w:top w:type="dxa" w:w="80"/>
              <w:left w:type="dxa" w:w="100"/>
              <w:bottom w:type="dxa" w:w="80"/>
              <w:right w:type="dxa" w:w="100"/>
            </w:tcMar>
          </w:tcPr>
          <w:p>
            <w:pPr>
              <w:jc w:val="center"/>
            </w:pPr>
            <w:r>
              <w:rPr>
                <w:rFonts w:ascii="Times New Roman" w:cs="Times New Roman" w:eastAsia="Times New Roman" w:hAnsi="Times New Roman"/>
                <w:b w:val="false"/>
                <w:bCs w:val="false"/>
                <w:i w:val="false"/>
                <w:iCs w:val="false"/>
                <w:sz w:val="20"/>
                <w:szCs w:val="20"/>
              </w:rPr>
              <w:t xml:space="preserve">2.0</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0"/>
                <w:szCs w:val="20"/>
              </w:rPr>
              <w:t xml:space="preserve">Implementation</w:t>
            </w:r>
          </w:p>
        </w:tc>
        <w:tc>
          <w:tcPr>
            <w:tcW w:type="dxa" w:w="3800"/>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0"/>
                <w:szCs w:val="20"/>
              </w:rPr>
              <w:t xml:space="preserve">IM1=1.5, IM2=0.5, IM3=0.5</w:t>
            </w:r>
          </w:p>
        </w:tc>
        <w:tc>
          <w:tcPr>
            <w:tcW w:type="dxa" w:w="900"/>
            <w:tcMar>
              <w:top w:type="dxa" w:w="80"/>
              <w:left w:type="dxa" w:w="100"/>
              <w:bottom w:type="dxa" w:w="80"/>
              <w:right w:type="dxa" w:w="100"/>
            </w:tcMar>
          </w:tcPr>
          <w:p>
            <w:pPr>
              <w:jc w:val="center"/>
            </w:pPr>
            <w:r>
              <w:rPr>
                <w:rFonts w:ascii="Times New Roman" w:cs="Times New Roman" w:eastAsia="Times New Roman" w:hAnsi="Times New Roman"/>
                <w:b w:val="false"/>
                <w:bCs w:val="false"/>
                <w:i w:val="false"/>
                <w:iCs w:val="false"/>
                <w:sz w:val="20"/>
                <w:szCs w:val="20"/>
              </w:rPr>
              <w:t xml:space="preserve">2.5</w:t>
            </w:r>
          </w:p>
        </w:tc>
        <w:tc>
          <w:tcPr>
            <w:tcW w:type="dxa" w:w="900"/>
            <w:tcMar>
              <w:top w:type="dxa" w:w="80"/>
              <w:left w:type="dxa" w:w="100"/>
              <w:bottom w:type="dxa" w:w="80"/>
              <w:right w:type="dxa" w:w="100"/>
            </w:tcMar>
          </w:tcPr>
          <w:p>
            <w:pPr>
              <w:jc w:val="center"/>
            </w:pPr>
            <w:r>
              <w:rPr>
                <w:rFonts w:ascii="Times New Roman" w:cs="Times New Roman" w:eastAsia="Times New Roman" w:hAnsi="Times New Roman"/>
                <w:b w:val="false"/>
                <w:bCs w:val="false"/>
                <w:i w:val="false"/>
                <w:iCs w:val="false"/>
                <w:sz w:val="20"/>
                <w:szCs w:val="20"/>
              </w:rPr>
              <w:t xml:space="preserve">3.0</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0"/>
                <w:szCs w:val="20"/>
              </w:rPr>
              <w:t xml:space="preserve">Delivery &amp; Structure</w:t>
            </w:r>
          </w:p>
        </w:tc>
        <w:tc>
          <w:tcPr>
            <w:tcW w:type="dxa" w:w="3800"/>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0"/>
                <w:szCs w:val="20"/>
              </w:rPr>
              <w:t xml:space="preserve">DS1=0.5, DS2=0.5, DS3=0.0</w:t>
            </w:r>
          </w:p>
        </w:tc>
        <w:tc>
          <w:tcPr>
            <w:tcW w:type="dxa" w:w="900"/>
            <w:tcMar>
              <w:top w:type="dxa" w:w="80"/>
              <w:left w:type="dxa" w:w="100"/>
              <w:bottom w:type="dxa" w:w="80"/>
              <w:right w:type="dxa" w:w="100"/>
            </w:tcMar>
          </w:tcPr>
          <w:p>
            <w:pPr>
              <w:jc w:val="center"/>
            </w:pPr>
            <w:r>
              <w:rPr>
                <w:rFonts w:ascii="Times New Roman" w:cs="Times New Roman" w:eastAsia="Times New Roman" w:hAnsi="Times New Roman"/>
                <w:b w:val="false"/>
                <w:bCs w:val="false"/>
                <w:i w:val="false"/>
                <w:iCs w:val="false"/>
                <w:sz w:val="20"/>
                <w:szCs w:val="20"/>
              </w:rPr>
              <w:t xml:space="preserve">1.0</w:t>
            </w:r>
          </w:p>
        </w:tc>
        <w:tc>
          <w:tcPr>
            <w:tcW w:type="dxa" w:w="900"/>
            <w:tcMar>
              <w:top w:type="dxa" w:w="80"/>
              <w:left w:type="dxa" w:w="100"/>
              <w:bottom w:type="dxa" w:w="80"/>
              <w:right w:type="dxa" w:w="100"/>
            </w:tcMar>
          </w:tcPr>
          <w:p>
            <w:pPr>
              <w:jc w:val="center"/>
            </w:pPr>
            <w:r>
              <w:rPr>
                <w:rFonts w:ascii="Times New Roman" w:cs="Times New Roman" w:eastAsia="Times New Roman" w:hAnsi="Times New Roman"/>
                <w:b w:val="false"/>
                <w:bCs w:val="false"/>
                <w:i w:val="false"/>
                <w:iCs w:val="false"/>
                <w:sz w:val="20"/>
                <w:szCs w:val="20"/>
              </w:rPr>
              <w:t xml:space="preserve">1.5</w:t>
            </w:r>
          </w:p>
        </w:tc>
      </w:tr>
      <w:tr>
        <w:tc>
          <w:tcPr>
            <w:tcW w:type="dxa" w:w="2600"/>
            <w:shd w:fill="F2F2F2" w:color="auto" w:val="clear"/>
            <w:tcMar>
              <w:top w:type="dxa" w:w="80"/>
              <w:left w:type="dxa" w:w="100"/>
              <w:bottom w:type="dxa" w:w="80"/>
              <w:right w:type="dxa" w:w="100"/>
            </w:tcMar>
          </w:tcPr>
          <w:p>
            <w:pPr>
              <w:jc w:val="left"/>
            </w:pPr>
            <w:r>
              <w:rPr>
                <w:rFonts w:ascii="Times New Roman" w:cs="Times New Roman" w:eastAsia="Times New Roman" w:hAnsi="Times New Roman"/>
                <w:b/>
                <w:bCs/>
                <w:i w:val="false"/>
                <w:iCs w:val="false"/>
                <w:sz w:val="20"/>
                <w:szCs w:val="20"/>
              </w:rPr>
              <w:t xml:space="preserve">Total</w:t>
            </w:r>
          </w:p>
        </w:tc>
        <w:tc>
          <w:tcPr>
            <w:tcW w:type="dxa" w:w="3800"/>
            <w:shd w:fill="F2F2F2" w:color="auto" w:val="clear"/>
            <w:tcMar>
              <w:top w:type="dxa" w:w="80"/>
              <w:left w:type="dxa" w:w="100"/>
              <w:bottom w:type="dxa" w:w="80"/>
              <w:right w:type="dxa" w:w="100"/>
            </w:tcMar>
          </w:tcPr>
          <w:p>
            <w:pPr>
              <w:jc w:val="left"/>
            </w:pPr>
            <w:r>
              <w:rPr>
                <w:rFonts w:ascii="Times New Roman" w:cs="Times New Roman" w:eastAsia="Times New Roman" w:hAnsi="Times New Roman"/>
                <w:b/>
                <w:bCs/>
                <w:i w:val="false"/>
                <w:iCs w:val="false"/>
                <w:sz w:val="20"/>
                <w:szCs w:val="20"/>
              </w:rPr>
              <w:t xml:space="preserve"/>
            </w:r>
          </w:p>
        </w:tc>
        <w:tc>
          <w:tcPr>
            <w:tcW w:type="dxa" w:w="900"/>
            <w:shd w:fill="F2F2F2" w:color="auto"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0"/>
                <w:szCs w:val="20"/>
              </w:rPr>
              <w:t xml:space="preserve">9.0</w:t>
            </w:r>
          </w:p>
        </w:tc>
        <w:tc>
          <w:tcPr>
            <w:tcW w:type="dxa" w:w="900"/>
            <w:shd w:fill="F2F2F2" w:color="auto"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0"/>
                <w:szCs w:val="20"/>
              </w:rPr>
              <w:t xml:space="preserve">10.0</w:t>
            </w:r>
          </w:p>
        </w:tc>
      </w:tr>
    </w:tbl>
    <w:p>
      <w:pPr>
        <w:spacing w:after="200" w:line="288"/>
      </w:pPr>
      <w:r>
        <w:t xml:space="preserve">This lecture handled coherence (TC4) especially well: it opens by reviewing data types students already know — integers, lists, dictionaries — before making the case that none of them cleanly represent something with several bundled properties, which is a deliberate, explicit bridge into the new topic rather than a jump. The example used to motivate classes is a role-playing-game character with attributes like health and strength, and it's carried all the way through the lecture: creating an instance, reading its attributes with dot notation, and calling a method on it. That continuity is why it scores the same 2.0 on Examples as Lecture 1 despite being a fundamentally more abstract topic.</w:t>
      </w:r>
    </w:p>
    <w:p>
      <w:pPr>
        <w:spacing w:after="200" w:line="288"/>
      </w:pPr>
      <w:r>
        <w:t xml:space="preserve">Implementation actually scored a bit higher here (2.5 vs. 2.0) because more of the class's syntax gets shown across the lecture — object creation, attribute access, and a method call — rather than a single indexing expression. It's still capped short of full marks for the same reason as Lecture 1: nothing in the transcript shows this code actually running. Delivery &amp; Structure is where this lecture is weaker than Lecture 1 — it has a clear opening and closing (DS1, DS2), but nothing in the transcript summary points to a question posed to the class or a check for understanding, so DS3 scored zero rather than partial credit.</w:t>
      </w:r>
    </w:p>
    <w:p>
      <w:pPr>
        <w:spacing w:after="80" w:before="160"/>
      </w:pPr>
      <w:r>
        <w:rPr>
          <w:b/>
          <w:bCs/>
          <w:i/>
          <w:iCs/>
          <w:sz w:val="22"/>
          <w:szCs w:val="22"/>
        </w:rPr>
        <w:t xml:space="preserve">4.3 — "Computer Science Ethics" (as scheduled)</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900"/>
        <w:gridCol w:w="900"/>
      </w:tblGrid>
      <w:tr>
        <w:trPr>
          <w:tblHeader/>
        </w:trPr>
        <w:tc>
          <w:tcPr>
            <w:tcW w:type="dxa" w:w="2600"/>
            <w:shd w:fill="D9D9D9" w:color="auto" w:val="clear"/>
            <w:tcMar>
              <w:top w:type="dxa" w:w="80"/>
              <w:left w:type="dxa" w:w="100"/>
              <w:bottom w:type="dxa" w:w="80"/>
              <w:right w:type="dxa" w:w="100"/>
            </w:tcMar>
          </w:tcPr>
          <w:p>
            <w:pPr>
              <w:jc w:val="left"/>
            </w:pPr>
            <w:r>
              <w:rPr>
                <w:rFonts w:ascii="Times New Roman" w:cs="Times New Roman" w:eastAsia="Times New Roman" w:hAnsi="Times New Roman"/>
                <w:b/>
                <w:bCs/>
                <w:i w:val="false"/>
                <w:iCs w:val="false"/>
                <w:sz w:val="20"/>
                <w:szCs w:val="20"/>
              </w:rPr>
              <w:t xml:space="preserve">Dimension</w:t>
            </w:r>
          </w:p>
        </w:tc>
        <w:tc>
          <w:tcPr>
            <w:tcW w:type="dxa" w:w="3800"/>
            <w:shd w:fill="D9D9D9" w:color="auto" w:val="clear"/>
            <w:tcMar>
              <w:top w:type="dxa" w:w="80"/>
              <w:left w:type="dxa" w:w="100"/>
              <w:bottom w:type="dxa" w:w="80"/>
              <w:right w:type="dxa" w:w="100"/>
            </w:tcMar>
          </w:tcPr>
          <w:p>
            <w:pPr>
              <w:jc w:val="left"/>
            </w:pPr>
            <w:r>
              <w:rPr>
                <w:rFonts w:ascii="Times New Roman" w:cs="Times New Roman" w:eastAsia="Times New Roman" w:hAnsi="Times New Roman"/>
                <w:b/>
                <w:bCs/>
                <w:i w:val="false"/>
                <w:iCs w:val="false"/>
                <w:sz w:val="20"/>
                <w:szCs w:val="20"/>
              </w:rPr>
              <w:t xml:space="preserve">Sub-scores</w:t>
            </w:r>
          </w:p>
        </w:tc>
        <w:tc>
          <w:tcPr>
            <w:tcW w:type="dxa" w:w="900"/>
            <w:shd w:fill="D9D9D9" w:color="auto"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0"/>
                <w:szCs w:val="20"/>
              </w:rPr>
              <w:t xml:space="preserve">Score</w:t>
            </w:r>
          </w:p>
        </w:tc>
        <w:tc>
          <w:tcPr>
            <w:tcW w:type="dxa" w:w="900"/>
            <w:shd w:fill="D9D9D9" w:color="auto"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0"/>
                <w:szCs w:val="20"/>
              </w:rPr>
              <w:t xml:space="preserve">Max</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0"/>
                <w:szCs w:val="20"/>
              </w:rPr>
              <w:t xml:space="preserve">Topic Coverage</w:t>
            </w:r>
          </w:p>
        </w:tc>
        <w:tc>
          <w:tcPr>
            <w:tcW w:type="dxa" w:w="3800"/>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0"/>
                <w:szCs w:val="20"/>
              </w:rPr>
              <w:t xml:space="preserve">TC1=0, TC2=0, TC3=0, TC4=0</w:t>
            </w:r>
          </w:p>
        </w:tc>
        <w:tc>
          <w:tcPr>
            <w:tcW w:type="dxa" w:w="900"/>
            <w:tcMar>
              <w:top w:type="dxa" w:w="80"/>
              <w:left w:type="dxa" w:w="100"/>
              <w:bottom w:type="dxa" w:w="80"/>
              <w:right w:type="dxa" w:w="100"/>
            </w:tcMar>
          </w:tcPr>
          <w:p>
            <w:pPr>
              <w:jc w:val="center"/>
            </w:pPr>
            <w:r>
              <w:rPr>
                <w:rFonts w:ascii="Times New Roman" w:cs="Times New Roman" w:eastAsia="Times New Roman" w:hAnsi="Times New Roman"/>
                <w:b w:val="false"/>
                <w:bCs w:val="false"/>
                <w:i w:val="false"/>
                <w:iCs w:val="false"/>
                <w:sz w:val="20"/>
                <w:szCs w:val="20"/>
              </w:rPr>
              <w:t xml:space="preserve">0.0</w:t>
            </w:r>
          </w:p>
        </w:tc>
        <w:tc>
          <w:tcPr>
            <w:tcW w:type="dxa" w:w="900"/>
            <w:tcMar>
              <w:top w:type="dxa" w:w="80"/>
              <w:left w:type="dxa" w:w="100"/>
              <w:bottom w:type="dxa" w:w="80"/>
              <w:right w:type="dxa" w:w="100"/>
            </w:tcMar>
          </w:tcPr>
          <w:p>
            <w:pPr>
              <w:jc w:val="center"/>
            </w:pPr>
            <w:r>
              <w:rPr>
                <w:rFonts w:ascii="Times New Roman" w:cs="Times New Roman" w:eastAsia="Times New Roman" w:hAnsi="Times New Roman"/>
                <w:b w:val="false"/>
                <w:bCs w:val="false"/>
                <w:i w:val="false"/>
                <w:iCs w:val="false"/>
                <w:sz w:val="20"/>
                <w:szCs w:val="20"/>
              </w:rPr>
              <w:t xml:space="preserve">3.5</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0"/>
                <w:szCs w:val="20"/>
              </w:rPr>
              <w:t xml:space="preserve">Examples</w:t>
            </w:r>
          </w:p>
        </w:tc>
        <w:tc>
          <w:tcPr>
            <w:tcW w:type="dxa" w:w="3800"/>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0"/>
                <w:szCs w:val="20"/>
              </w:rPr>
              <w:t xml:space="preserve">EX1=0, EX2=0, EX3=0</w:t>
            </w:r>
          </w:p>
        </w:tc>
        <w:tc>
          <w:tcPr>
            <w:tcW w:type="dxa" w:w="900"/>
            <w:tcMar>
              <w:top w:type="dxa" w:w="80"/>
              <w:left w:type="dxa" w:w="100"/>
              <w:bottom w:type="dxa" w:w="80"/>
              <w:right w:type="dxa" w:w="100"/>
            </w:tcMar>
          </w:tcPr>
          <w:p>
            <w:pPr>
              <w:jc w:val="center"/>
            </w:pPr>
            <w:r>
              <w:rPr>
                <w:rFonts w:ascii="Times New Roman" w:cs="Times New Roman" w:eastAsia="Times New Roman" w:hAnsi="Times New Roman"/>
                <w:b w:val="false"/>
                <w:bCs w:val="false"/>
                <w:i w:val="false"/>
                <w:iCs w:val="false"/>
                <w:sz w:val="20"/>
                <w:szCs w:val="20"/>
              </w:rPr>
              <w:t xml:space="preserve">0.0</w:t>
            </w:r>
          </w:p>
        </w:tc>
        <w:tc>
          <w:tcPr>
            <w:tcW w:type="dxa" w:w="900"/>
            <w:tcMar>
              <w:top w:type="dxa" w:w="80"/>
              <w:left w:type="dxa" w:w="100"/>
              <w:bottom w:type="dxa" w:w="80"/>
              <w:right w:type="dxa" w:w="100"/>
            </w:tcMar>
          </w:tcPr>
          <w:p>
            <w:pPr>
              <w:jc w:val="center"/>
            </w:pPr>
            <w:r>
              <w:rPr>
                <w:rFonts w:ascii="Times New Roman" w:cs="Times New Roman" w:eastAsia="Times New Roman" w:hAnsi="Times New Roman"/>
                <w:b w:val="false"/>
                <w:bCs w:val="false"/>
                <w:i w:val="false"/>
                <w:iCs w:val="false"/>
                <w:sz w:val="20"/>
                <w:szCs w:val="20"/>
              </w:rPr>
              <w:t xml:space="preserve">2.0</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0"/>
                <w:szCs w:val="20"/>
              </w:rPr>
              <w:t xml:space="preserve">Implementation</w:t>
            </w:r>
          </w:p>
        </w:tc>
        <w:tc>
          <w:tcPr>
            <w:tcW w:type="dxa" w:w="3800"/>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0"/>
                <w:szCs w:val="20"/>
              </w:rPr>
              <w:t xml:space="preserve">IM1=0, IM2=0, IM3=0</w:t>
            </w:r>
          </w:p>
        </w:tc>
        <w:tc>
          <w:tcPr>
            <w:tcW w:type="dxa" w:w="900"/>
            <w:tcMar>
              <w:top w:type="dxa" w:w="80"/>
              <w:left w:type="dxa" w:w="100"/>
              <w:bottom w:type="dxa" w:w="80"/>
              <w:right w:type="dxa" w:w="100"/>
            </w:tcMar>
          </w:tcPr>
          <w:p>
            <w:pPr>
              <w:jc w:val="center"/>
            </w:pPr>
            <w:r>
              <w:rPr>
                <w:rFonts w:ascii="Times New Roman" w:cs="Times New Roman" w:eastAsia="Times New Roman" w:hAnsi="Times New Roman"/>
                <w:b w:val="false"/>
                <w:bCs w:val="false"/>
                <w:i w:val="false"/>
                <w:iCs w:val="false"/>
                <w:sz w:val="20"/>
                <w:szCs w:val="20"/>
              </w:rPr>
              <w:t xml:space="preserve">0.0</w:t>
            </w:r>
          </w:p>
        </w:tc>
        <w:tc>
          <w:tcPr>
            <w:tcW w:type="dxa" w:w="900"/>
            <w:tcMar>
              <w:top w:type="dxa" w:w="80"/>
              <w:left w:type="dxa" w:w="100"/>
              <w:bottom w:type="dxa" w:w="80"/>
              <w:right w:type="dxa" w:w="100"/>
            </w:tcMar>
          </w:tcPr>
          <w:p>
            <w:pPr>
              <w:jc w:val="center"/>
            </w:pPr>
            <w:r>
              <w:rPr>
                <w:rFonts w:ascii="Times New Roman" w:cs="Times New Roman" w:eastAsia="Times New Roman" w:hAnsi="Times New Roman"/>
                <w:b w:val="false"/>
                <w:bCs w:val="false"/>
                <w:i w:val="false"/>
                <w:iCs w:val="false"/>
                <w:sz w:val="20"/>
                <w:szCs w:val="20"/>
              </w:rPr>
              <w:t xml:space="preserve">3.0</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0"/>
                <w:szCs w:val="20"/>
              </w:rPr>
              <w:t xml:space="preserve">Delivery &amp; Structure</w:t>
            </w:r>
          </w:p>
        </w:tc>
        <w:tc>
          <w:tcPr>
            <w:tcW w:type="dxa" w:w="3800"/>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0"/>
                <w:szCs w:val="20"/>
              </w:rPr>
              <w:t xml:space="preserve">DS1=0.5, DS2=0.5, DS3=0.0</w:t>
            </w:r>
          </w:p>
        </w:tc>
        <w:tc>
          <w:tcPr>
            <w:tcW w:type="dxa" w:w="900"/>
            <w:tcMar>
              <w:top w:type="dxa" w:w="80"/>
              <w:left w:type="dxa" w:w="100"/>
              <w:bottom w:type="dxa" w:w="80"/>
              <w:right w:type="dxa" w:w="100"/>
            </w:tcMar>
          </w:tcPr>
          <w:p>
            <w:pPr>
              <w:jc w:val="center"/>
            </w:pPr>
            <w:r>
              <w:rPr>
                <w:rFonts w:ascii="Times New Roman" w:cs="Times New Roman" w:eastAsia="Times New Roman" w:hAnsi="Times New Roman"/>
                <w:b w:val="false"/>
                <w:bCs w:val="false"/>
                <w:i w:val="false"/>
                <w:iCs w:val="false"/>
                <w:sz w:val="20"/>
                <w:szCs w:val="20"/>
              </w:rPr>
              <w:t xml:space="preserve">1.0</w:t>
            </w:r>
          </w:p>
        </w:tc>
        <w:tc>
          <w:tcPr>
            <w:tcW w:type="dxa" w:w="900"/>
            <w:tcMar>
              <w:top w:type="dxa" w:w="80"/>
              <w:left w:type="dxa" w:w="100"/>
              <w:bottom w:type="dxa" w:w="80"/>
              <w:right w:type="dxa" w:w="100"/>
            </w:tcMar>
          </w:tcPr>
          <w:p>
            <w:pPr>
              <w:jc w:val="center"/>
            </w:pPr>
            <w:r>
              <w:rPr>
                <w:rFonts w:ascii="Times New Roman" w:cs="Times New Roman" w:eastAsia="Times New Roman" w:hAnsi="Times New Roman"/>
                <w:b w:val="false"/>
                <w:bCs w:val="false"/>
                <w:i w:val="false"/>
                <w:iCs w:val="false"/>
                <w:sz w:val="20"/>
                <w:szCs w:val="20"/>
              </w:rPr>
              <w:t xml:space="preserve">1.5</w:t>
            </w:r>
          </w:p>
        </w:tc>
      </w:tr>
      <w:tr>
        <w:tc>
          <w:tcPr>
            <w:tcW w:type="dxa" w:w="2600"/>
            <w:shd w:fill="F2F2F2" w:color="auto" w:val="clear"/>
            <w:tcMar>
              <w:top w:type="dxa" w:w="80"/>
              <w:left w:type="dxa" w:w="100"/>
              <w:bottom w:type="dxa" w:w="80"/>
              <w:right w:type="dxa" w:w="100"/>
            </w:tcMar>
          </w:tcPr>
          <w:p>
            <w:pPr>
              <w:jc w:val="left"/>
            </w:pPr>
            <w:r>
              <w:rPr>
                <w:rFonts w:ascii="Times New Roman" w:cs="Times New Roman" w:eastAsia="Times New Roman" w:hAnsi="Times New Roman"/>
                <w:b/>
                <w:bCs/>
                <w:i w:val="false"/>
                <w:iCs w:val="false"/>
                <w:sz w:val="20"/>
                <w:szCs w:val="20"/>
              </w:rPr>
              <w:t xml:space="preserve">Total</w:t>
            </w:r>
          </w:p>
        </w:tc>
        <w:tc>
          <w:tcPr>
            <w:tcW w:type="dxa" w:w="3800"/>
            <w:shd w:fill="F2F2F2" w:color="auto" w:val="clear"/>
            <w:tcMar>
              <w:top w:type="dxa" w:w="80"/>
              <w:left w:type="dxa" w:w="100"/>
              <w:bottom w:type="dxa" w:w="80"/>
              <w:right w:type="dxa" w:w="100"/>
            </w:tcMar>
          </w:tcPr>
          <w:p>
            <w:pPr>
              <w:jc w:val="left"/>
            </w:pPr>
            <w:r>
              <w:rPr>
                <w:rFonts w:ascii="Times New Roman" w:cs="Times New Roman" w:eastAsia="Times New Roman" w:hAnsi="Times New Roman"/>
                <w:b/>
                <w:bCs/>
                <w:i w:val="false"/>
                <w:iCs w:val="false"/>
                <w:sz w:val="20"/>
                <w:szCs w:val="20"/>
              </w:rPr>
              <w:t xml:space="preserve"/>
            </w:r>
          </w:p>
        </w:tc>
        <w:tc>
          <w:tcPr>
            <w:tcW w:type="dxa" w:w="900"/>
            <w:shd w:fill="F2F2F2" w:color="auto"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0"/>
                <w:szCs w:val="20"/>
              </w:rPr>
              <w:t xml:space="preserve">1.0</w:t>
            </w:r>
          </w:p>
        </w:tc>
        <w:tc>
          <w:tcPr>
            <w:tcW w:type="dxa" w:w="900"/>
            <w:shd w:fill="F2F2F2" w:color="auto"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0"/>
                <w:szCs w:val="20"/>
              </w:rPr>
              <w:t xml:space="preserve">10.0</w:t>
            </w:r>
          </w:p>
        </w:tc>
      </w:tr>
    </w:tbl>
    <w:p>
      <w:pPr>
        <w:spacing w:after="200" w:line="288"/>
      </w:pPr>
      <w:r>
        <w:t xml:space="preserve">This is the one that actually taught me something. The video the course schedule links against "Computer Science Ethics" is not the ethics lecture — once I read the transcript, it's a short administrative segment covering project deadlines, a guest-speaker announcement, and a recruiting event. Howard splits each class period into multiple numbered video segments on YouTube (an announcements clip, then the lecture content itself), and the public schedule links the first segment in that set rather than the one that actually covers the stated topic.</w:t>
      </w:r>
    </w:p>
    <w:p>
      <w:pPr>
        <w:spacing w:after="200" w:line="288"/>
      </w:pPr>
      <w:r>
        <w:t xml:space="preserve">The rubric doesn't know any of that context — it just read a transcript with no ethics content in it and scored accordingly: zero across Topic Coverage, Examples, and Implementation, because there's genuinely nothing there to give credit for. It only earns partial credit on Delivery &amp; Structure, and only because the announcements themselves were clearly organized and easy to follow (DS1, DS2), not because of anything related to the labeled topic. I want to be clear that this 1.0/10 is not a case of the matrix being unfair to a real lecture — it's the matrix correctly refusing to invent content that isn't there, which is arguably a better outcome than a system that pattern-matches its way to a plausible-sounding score on the wrong video.</w:t>
      </w:r>
    </w:p>
    <w:p>
      <w:pPr>
        <w:spacing w:after="120" w:before="240"/>
      </w:pPr>
      <w:r>
        <w:rPr>
          <w:b/>
          <w:bCs/>
          <w:sz w:val="24"/>
          <w:szCs w:val="24"/>
        </w:rPr>
        <w:t xml:space="preserve">5. What This Changes About the Pipeline</w:t>
      </w:r>
    </w:p>
    <w:p>
      <w:pPr>
        <w:spacing w:after="200" w:line="288"/>
      </w:pPr>
      <w:r>
        <w:t xml:space="preserve">Lecture 3 exposed a gap the MIT pilot never surfaced, because that pilot only ever tested a video I already knew was a real lecture. In practice, a course's public schedule can point to the wrong clip — an announcements segment, a guest-speaker introduction, a technical-difficulties re-recording — and right now nothing in the pipeline checks for that before handing a transcript to the scorer. If this isn't caught, the pipeline will occasionally produce a very low score for a lecture that might actually be fine, and someone reading the output without watching the source video would have no way to tell the difference between "badly taught" and "wrong video."</w:t>
      </w:r>
    </w:p>
    <w:p>
      <w:pPr>
        <w:spacing w:after="200" w:line="288"/>
      </w:pPr>
      <w:r>
        <w:t xml:space="preserve">A reasonably cheap fix is a content-check step between Stage 1 (transcript acquisition) and Stage 2 (signal extraction): compare the transcript's length against the typical length for that course's lectures (this announcements segment was noticeably shorter than the other two), and run a quick keyword check against the syllabus topic before running the full rubric — a video with almost none of the expected topic's vocabulary should be flagged for manual review rather than silently scored. This is a small addition, but Lecture 3 is proof it's a necessary one, not a hypothetical edge case.</w:t>
      </w:r>
    </w:p>
    <w:p>
      <w:pPr>
        <w:spacing w:after="200" w:line="288"/>
      </w:pPr>
      <w:r>
        <w:t xml:space="preserve">Outside of that, the two real content lectures held up well. Both scored 9.0/10, and for reasons that trace back to specific, checkable things in the transcript — explicit callbacks to prior material, a worked example carried through the lecture, and real code syntax — rather than a vague overall impression. That's a slightly stronger result than Week 1 alone could offer, since these are two different lectures, from a course I had no part in designing, and they still came out consistent with each other on the sub-criteria that matter most (Topic Coverage and Examples).</w:t>
      </w:r>
    </w:p>
    <w:p>
      <w:pPr>
        <w:spacing w:after="120" w:before="240"/>
      </w:pPr>
      <w:r>
        <w:rPr>
          <w:b/>
          <w:bCs/>
          <w:sz w:val="24"/>
          <w:szCs w:val="24"/>
        </w:rPr>
        <w:t xml:space="preserve">6. Limitations Still Open</w:t>
      </w:r>
    </w:p>
    <w:p>
      <w:pPr>
        <w:spacing w:after="200" w:line="288"/>
      </w:pPr>
      <w:r>
        <w:t xml:space="preserve">A few things from Week 1's limitations list are still unresolved, plus one new one from this week:</w:t>
      </w:r>
    </w:p>
    <w:p>
      <w:pPr>
        <w:spacing w:after="200" w:line="288"/>
      </w:pPr>
      <w:r>
        <w:t xml:space="preserve">The transcripts behind these scores are summarized by a third-party tool, not raw captions, so — as with the MIT pilot — the Examples and Implementation sub-scores are lower-bound estimates rather than exact counts; a detail the summary dropped could mean a lecture is scored slightly lower than it deserves. I still don't have the syllabus text for CSCI 100 itself, so Topic Coverage here was judged qualitatively against the schedule's own one-line topic description, not a real keyword-overlap check against course materials. And Lecture 3 adds the content-verification gap described in Section 5, which didn't exist as a known issue before this week.</w:t>
      </w:r>
    </w:p>
    <w:p>
      <w:pPr>
        <w:spacing w:after="120" w:before="240"/>
      </w:pPr>
      <w:r>
        <w:rPr>
          <w:b/>
          <w:bCs/>
          <w:sz w:val="24"/>
          <w:szCs w:val="24"/>
        </w:rPr>
        <w:t xml:space="preserve">7. Next Steps</w:t>
      </w:r>
    </w:p>
    <w:p>
      <w:pPr>
        <w:spacing w:after="200" w:line="288"/>
      </w:pPr>
      <w:r>
        <w:t xml:space="preserve">First priority is still getting raw captions flowing into </w:t>
      </w:r>
      <w:r>
        <w:rPr>
          <w:i/>
          <w:iCs/>
        </w:rPr>
        <w:t xml:space="preserve">lecture_rating_pipeline.py</w:t>
      </w:r>
      <w:r>
        <w:t xml:space="preserve"> directly instead of hand-copying transcript summaries — this is blocked on network access from the cloud environment I'm working in, so it will likely need to happen from my own machine instead. Second, I want to add the content-check step from Section 5 before Stage 2, since it's now a demonstrated need rather than a theoretical one. Third, once both of those are in place, I'd like to run these same three Howard lectures through the automated Stage 3 LLM judge and compare its scores against the hand-scores in this report — that comparison is the first real test of Stage 4 (human calibration), rather than something I keep describing as a future step.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2026-09-09T19:33:09.819Z</dcterms:created>
  <dcterms:modified xsi:type="dcterms:W3CDTF">2026-09-09T19:33:09.838Z</dcterms:modified>
</cp:coreProperties>
</file>

<file path=docProps/custom.xml><?xml version="1.0" encoding="utf-8"?>
<Properties xmlns="http://schemas.openxmlformats.org/officeDocument/2006/custom-properties" xmlns:vt="http://schemas.openxmlformats.org/officeDocument/2006/docPropsVTypes"/>
</file>