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4"/>
          <w:szCs w:val="24"/>
        </w:rPr>
        <w:t xml:space="preserve">Calibration Results: Revised Implementation Measure</w:t>
      </w:r>
    </w:p>
    <w:p>
      <w:pPr>
        <w:spacing w:after="320"/>
        <w:jc w:val="center"/>
      </w:pPr>
      <w:r>
        <w:rPr>
          <w:rFonts w:ascii="Times New Roman" w:cs="Times New Roman" w:eastAsia="Times New Roman" w:hAnsi="Times New Roman"/>
          <w:color w:val="000000"/>
          <w:sz w:val="24"/>
          <w:szCs w:val="24"/>
        </w:rPr>
        <w:t xml:space="preserve">Hamza Mehmood, prepared for Professor Maaz Amjad — October 1, 2026</w:t>
      </w:r>
    </w:p>
    <w:p>
      <w:pPr>
        <w:spacing w:after="160" w:line="276"/>
      </w:pPr>
      <w:r>
        <w:rPr>
          <w:rFonts w:ascii="Times New Roman" w:cs="Times New Roman" w:eastAsia="Times New Roman" w:hAnsi="Times New Roman"/>
          <w:b/>
          <w:bCs/>
          <w:color w:val="000000"/>
          <w:sz w:val="24"/>
          <w:szCs w:val="24"/>
        </w:rPr>
        <w:t xml:space="preserve">What was tested: </w:t>
      </w:r>
      <w:r>
        <w:rPr>
          <w:rFonts w:ascii="Times New Roman" w:cs="Times New Roman" w:eastAsia="Times New Roman" w:hAnsi="Times New Roman"/>
          <w:color w:val="000000"/>
          <w:sz w:val="24"/>
          <w:szCs w:val="24"/>
        </w:rPr>
        <w:t xml:space="preserve">The September 23 run found the Implementation proxy ranking two lectures in the opposite order to hand-scoring. The diagnosis offered was that the marker list detects announcements of code rather than code itself. This week that diagnosis was turned into a prediction and tested.</w:t>
      </w:r>
    </w:p>
    <w:p>
      <w:pPr>
        <w:spacing w:after="160" w:line="276"/>
      </w:pPr>
      <w:r>
        <w:rPr>
          <w:rFonts w:ascii="Times New Roman" w:cs="Times New Roman" w:eastAsia="Times New Roman" w:hAnsi="Times New Roman"/>
          <w:b/>
          <w:bCs/>
          <w:color w:val="000000"/>
          <w:sz w:val="24"/>
          <w:szCs w:val="24"/>
        </w:rPr>
        <w:t xml:space="preserve">The prediction, stated before the test: </w:t>
      </w:r>
      <w:r>
        <w:rPr>
          <w:rFonts w:ascii="Times New Roman" w:cs="Times New Roman" w:eastAsia="Times New Roman" w:hAnsi="Times New Roman"/>
          <w:color w:val="000000"/>
          <w:sz w:val="24"/>
          <w:szCs w:val="24"/>
        </w:rPr>
        <w:t xml:space="preserve">If the inversion is caused by announcement-detection, then a measure of spoken-code register should rank the OOP lecture above the 2D Lists lecture on Implementation, matching the hand-scores, where the original markers ranked them backwards. If it does not, the diagnosis is wrong and must not be reported as established.</w:t>
      </w:r>
    </w:p>
    <w:p>
      <w:pPr>
        <w:spacing w:after="140" w:before="300"/>
      </w:pPr>
      <w:r>
        <w:rPr>
          <w:rFonts w:ascii="Times New Roman" w:cs="Times New Roman" w:eastAsia="Times New Roman" w:hAnsi="Times New Roman"/>
          <w:b/>
          <w:bCs/>
          <w:color w:val="000000"/>
          <w:sz w:val="24"/>
          <w:szCs w:val="24"/>
        </w:rPr>
        <w:t xml:space="preserve">1. Replication Check</w:t>
      </w:r>
    </w:p>
    <w:p>
      <w:pPr>
        <w:spacing w:after="160" w:line="276"/>
      </w:pPr>
      <w:r>
        <w:rPr>
          <w:rFonts w:ascii="Times New Roman" w:cs="Times New Roman" w:eastAsia="Times New Roman" w:hAnsi="Times New Roman"/>
          <w:color w:val="000000"/>
          <w:sz w:val="24"/>
          <w:szCs w:val="24"/>
        </w:rPr>
        <w:t xml:space="preserve">Before comparing anything, the analysis was re-run independently against the same lecture to confirm it reproduces the figures obtained on September 23. It does, exactly: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000"/>
      </w:tblGrid>
      <w:tr>
        <w:tc>
          <w:tcPr>
            <w:tcW w:type="dxa" w:w="30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Quantity</w:t>
            </w:r>
          </w:p>
        </w:tc>
        <w:tc>
          <w:tcPr>
            <w:tcW w:type="dxa" w:w="22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Sept 23 run</w:t>
            </w:r>
          </w:p>
        </w:tc>
        <w:tc>
          <w:tcPr>
            <w:tcW w:type="dxa" w:w="22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Oct 1 re-run</w:t>
            </w:r>
          </w:p>
        </w:tc>
        <w:tc>
          <w:tcPr>
            <w:tcW w:type="dxa" w:w="20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Result</w:t>
            </w:r>
          </w:p>
        </w:tc>
      </w:tr>
      <w:tr>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Word count</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1,457</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1,457</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Match</w:t>
            </w:r>
          </w:p>
        </w:tc>
      </w:tr>
      <w:tr>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Example markers</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Match</w:t>
            </w:r>
          </w:p>
        </w:tc>
      </w:tr>
      <w:tr>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Implementation markers</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Match</w:t>
            </w:r>
          </w:p>
        </w:tc>
      </w:tr>
      <w:tr>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Keyword coverage</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66.7%</w:t>
            </w:r>
          </w:p>
        </w:tc>
        <w:tc>
          <w:tcPr>
            <w:tcW w:type="dxa" w:w="2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66.7%</w:t>
            </w:r>
          </w:p>
        </w:tc>
        <w:tc>
          <w:tcPr>
            <w:tcW w:type="dxa" w:w="2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Match</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This matters more than it appears. It establishes that the measurement harness is correct rather than merely plausible, so any difference seen in the new measure is a property of the measure and not an artefact of a different processing path.</w:t>
      </w:r>
    </w:p>
    <w:p>
      <w:pPr>
        <w:spacing w:after="140" w:before="300"/>
      </w:pPr>
      <w:r>
        <w:rPr>
          <w:rFonts w:ascii="Times New Roman" w:cs="Times New Roman" w:eastAsia="Times New Roman" w:hAnsi="Times New Roman"/>
          <w:b/>
          <w:bCs/>
          <w:color w:val="000000"/>
          <w:sz w:val="24"/>
          <w:szCs w:val="24"/>
        </w:rPr>
        <w:t xml:space="preserve">2. The Revised Measure</w:t>
      </w:r>
    </w:p>
    <w:p>
      <w:pPr>
        <w:spacing w:after="160" w:line="276"/>
      </w:pPr>
      <w:r>
        <w:rPr>
          <w:rFonts w:ascii="Times New Roman" w:cs="Times New Roman" w:eastAsia="Times New Roman" w:hAnsi="Times New Roman"/>
          <w:color w:val="000000"/>
          <w:sz w:val="24"/>
          <w:szCs w:val="24"/>
        </w:rPr>
        <w:t xml:space="preserve">The replacement measure counts spoken-code register — words such as dot, equals, bracket and underscore, language keywords, and literal code tokens surviving into the captions — rather than phrases announcing an intention to write 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800"/>
        <w:gridCol w:w="1500"/>
        <w:gridCol w:w="1300"/>
      </w:tblGrid>
      <w:tr>
        <w:tc>
          <w:tcPr>
            <w:tcW w:type="dxa" w:w="31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17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Hand (Impl.)</w:t>
            </w:r>
          </w:p>
        </w:tc>
        <w:tc>
          <w:tcPr>
            <w:tcW w:type="dxa" w:w="18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Original markers</w:t>
            </w:r>
          </w:p>
        </w:tc>
        <w:tc>
          <w:tcPr>
            <w:tcW w:type="dxa" w:w="15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First attempt</w:t>
            </w:r>
          </w:p>
        </w:tc>
        <w:tc>
          <w:tcPr>
            <w:tcW w:type="dxa" w:w="13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After fix</w:t>
            </w:r>
          </w:p>
        </w:tc>
      </w:tr>
      <w:tr>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 OOP</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2.5 / 3.0</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21.54</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6.80</w:t>
            </w:r>
          </w:p>
        </w:tc>
      </w:tr>
      <w:tr>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 Nested Loops</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2.0 / 3.0</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7.55</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3.43</w:t>
            </w:r>
          </w:p>
        </w:tc>
      </w:tr>
      <w:tr>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 / 3.0</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10.08</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0.00</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b/>
          <w:bCs/>
          <w:color w:val="000000"/>
          <w:sz w:val="24"/>
          <w:szCs w:val="24"/>
        </w:rPr>
        <w:t xml:space="preserve">Verdict: </w:t>
      </w:r>
      <w:r>
        <w:rPr>
          <w:rFonts w:ascii="Times New Roman" w:cs="Times New Roman" w:eastAsia="Times New Roman" w:hAnsi="Times New Roman"/>
          <w:color w:val="000000"/>
          <w:sz w:val="24"/>
          <w:szCs w:val="24"/>
        </w:rPr>
        <w:t xml:space="preserve">The prediction is supported. The hand-scores rank OOP above 2D Lists on Implementation. The original markers reproduce that order: no. The revised measure reproduces it: yes.</w:t>
      </w:r>
    </w:p>
    <w:p>
      <w:pPr>
        <w:spacing w:after="140" w:before="300"/>
      </w:pPr>
      <w:r>
        <w:rPr>
          <w:rFonts w:ascii="Times New Roman" w:cs="Times New Roman" w:eastAsia="Times New Roman" w:hAnsi="Times New Roman"/>
          <w:b/>
          <w:bCs/>
          <w:color w:val="000000"/>
          <w:sz w:val="24"/>
          <w:szCs w:val="24"/>
        </w:rPr>
        <w:t xml:space="preserve">3. The First Attempt Also Produced a False Positive</w:t>
      </w:r>
    </w:p>
    <w:p>
      <w:pPr>
        <w:spacing w:after="160" w:line="276"/>
      </w:pPr>
      <w:r>
        <w:rPr>
          <w:rFonts w:ascii="Times New Roman" w:cs="Times New Roman" w:eastAsia="Times New Roman" w:hAnsi="Times New Roman"/>
          <w:color w:val="000000"/>
          <w:sz w:val="24"/>
          <w:szCs w:val="24"/>
        </w:rPr>
        <w:t xml:space="preserve">The first version of the measure recovered the ranking between the two content lectures, but ranked the announcements clip at 10.08, above the 2D Lists lecture at 7.55, despite that clip containing no code at all and being hand-scored zero. Had the test covered only the two lectures the prediction concerned, this would have passed unnoticed.</w:t>
      </w:r>
    </w:p>
    <w:p>
      <w:pPr>
        <w:spacing w:after="160" w:line="276"/>
      </w:pPr>
      <w:r>
        <w:rPr>
          <w:rFonts w:ascii="Times New Roman" w:cs="Times New Roman" w:eastAsia="Times New Roman" w:hAnsi="Times New Roman"/>
          <w:color w:val="000000"/>
          <w:sz w:val="24"/>
          <w:szCs w:val="24"/>
        </w:rPr>
        <w:t xml:space="preserve">Inspecting which patterns fired identified the cause immediately: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2900"/>
      </w:tblGrid>
      <w:tr>
        <w:tc>
          <w:tcPr>
            <w:tcW w:type="dxa" w:w="24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41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Keywords that fired</w:t>
            </w:r>
          </w:p>
        </w:tc>
        <w:tc>
          <w:tcPr>
            <w:tcW w:type="dxa" w:w="29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Genuine?</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 OOP</w:t>
            </w:r>
          </w:p>
        </w:tc>
        <w:tc>
          <w:tcPr>
            <w:tcW w:type="dxa" w:w="4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dictionary x6, class x3, print, range, string, integer</w:t>
            </w:r>
          </w:p>
        </w:tc>
        <w:tc>
          <w:tcPr>
            <w:tcW w:type="dxa" w:w="2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Yes — the lecture discusses data types</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w:t>
            </w:r>
          </w:p>
        </w:tc>
        <w:tc>
          <w:tcPr>
            <w:tcW w:type="dxa" w:w="4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print x3, class x3</w:t>
            </w:r>
          </w:p>
        </w:tc>
        <w:tc>
          <w:tcPr>
            <w:tcW w:type="dxa" w:w="2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print yes; class is the course sense</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41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 x3</w:t>
            </w:r>
          </w:p>
        </w:tc>
        <w:tc>
          <w:tcPr>
            <w:tcW w:type="dxa" w:w="2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No — 'our class', 'my class', a course</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The word class fired three times in the announcements clip in the sense of a course. Polysemy is not an incidental nuisance here: class, list, string, object and dictionary are all ordinary English words in an educational setting, which is precisely the domain this measure runs in. A separate false match came from the abbreviation p.m, which the attribute-access pattern read as code. The short transcript then amplified both, because four spurious tokens across 397 words produce a high rate.</w:t>
      </w:r>
    </w:p>
    <w:p>
      <w:pPr>
        <w:spacing w:after="140" w:before="300"/>
      </w:pPr>
      <w:r>
        <w:rPr>
          <w:rFonts w:ascii="Times New Roman" w:cs="Times New Roman" w:eastAsia="Times New Roman" w:hAnsi="Times New Roman"/>
          <w:b/>
          <w:bCs/>
          <w:color w:val="000000"/>
          <w:sz w:val="24"/>
          <w:szCs w:val="24"/>
        </w:rPr>
        <w:t xml:space="preserve">4. The Fix and the Final Numbers</w:t>
      </w:r>
    </w:p>
    <w:p>
      <w:pPr>
        <w:spacing w:after="160" w:line="276"/>
      </w:pPr>
      <w:r>
        <w:rPr>
          <w:rFonts w:ascii="Times New Roman" w:cs="Times New Roman" w:eastAsia="Times New Roman" w:hAnsi="Times New Roman"/>
          <w:color w:val="000000"/>
          <w:sz w:val="24"/>
          <w:szCs w:val="24"/>
        </w:rPr>
        <w:t xml:space="preserve">The headline metric now uses high-specificity evidence only: spoken code punctuation such as dot, equals and bracket, plus literal code tokens, with the literal pattern tightened to require at least two characters either side of the dot so that abbreviations no longer match. Language keywords are still counted and reported, but excluded from the score.</w:t>
      </w:r>
    </w:p>
    <w:p>
      <w:pPr>
        <w:spacing w:after="160" w:line="276"/>
      </w:pPr>
      <w:r>
        <w:rPr>
          <w:rFonts w:ascii="Times New Roman" w:cs="Times New Roman" w:eastAsia="Times New Roman" w:hAnsi="Times New Roman"/>
          <w:color w:val="000000"/>
          <w:sz w:val="24"/>
          <w:szCs w:val="24"/>
        </w:rPr>
        <w:t xml:space="preserve">After the fix the announcements clip scores exactly zero, and all three lectures order correctly against the hand-scores: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Measure</w:t>
            </w:r>
          </w:p>
        </w:tc>
        <w:tc>
          <w:tcPr>
            <w:tcW w:type="dxa" w:w="40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Kendall tau vs hand-scores</w:t>
            </w:r>
          </w:p>
        </w:tc>
      </w:tr>
      <w:tr>
        <w:tc>
          <w:tcPr>
            <w:tcW w:type="dxa" w:w="5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Original implementation markers</w:t>
            </w:r>
          </w:p>
        </w:tc>
        <w:tc>
          <w:tcPr>
            <w:tcW w:type="dxa" w:w="4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0.00</w:t>
            </w:r>
          </w:p>
        </w:tc>
      </w:tr>
      <w:tr>
        <w:tc>
          <w:tcPr>
            <w:tcW w:type="dxa" w:w="5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Revised measure, after fix</w:t>
            </w:r>
          </w:p>
        </w:tc>
        <w:tc>
          <w:tcPr>
            <w:tcW w:type="dxa" w:w="4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Rank agreement with the hand-scores moves from zero to complete. The original markers carried no rank information at all on this set.</w:t>
      </w:r>
    </w:p>
    <w:p>
      <w:pPr>
        <w:spacing w:after="140" w:before="300"/>
      </w:pPr>
      <w:r>
        <w:rPr>
          <w:rFonts w:ascii="Times New Roman" w:cs="Times New Roman" w:eastAsia="Times New Roman" w:hAnsi="Times New Roman"/>
          <w:b/>
          <w:bCs/>
          <w:color w:val="000000"/>
          <w:sz w:val="24"/>
          <w:szCs w:val="24"/>
        </w:rPr>
        <w:t xml:space="preserve">5. The Measure That Was Abandoned</w:t>
      </w:r>
    </w:p>
    <w:p>
      <w:pPr>
        <w:spacing w:after="160" w:line="276"/>
      </w:pPr>
      <w:r>
        <w:rPr>
          <w:rFonts w:ascii="Times New Roman" w:cs="Times New Roman" w:eastAsia="Times New Roman" w:hAnsi="Times New Roman"/>
          <w:color w:val="000000"/>
          <w:sz w:val="24"/>
          <w:szCs w:val="24"/>
        </w:rPr>
        <w:t xml:space="preserve">A second replacement was attempted: estimating how much of a transcript sits inside a developed example, rather than how often one is announced, so that a single sustained example would score correctly. Three variants were implemented and anchor windows of six, eight, twelve and twenty-five words were tested. All failed the same way.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600"/>
      </w:tblGrid>
      <w:tr>
        <w:tc>
          <w:tcPr>
            <w:tcW w:type="dxa" w:w="40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Input</w:t>
            </w:r>
          </w:p>
        </w:tc>
        <w:tc>
          <w:tcPr>
            <w:tcW w:type="dxa" w:w="18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Span ratio</w:t>
            </w:r>
          </w:p>
        </w:tc>
        <w:tc>
          <w:tcPr>
            <w:tcW w:type="dxa" w:w="36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Reading</w:t>
            </w:r>
          </w:p>
        </w:tc>
      </w:tr>
      <w:tr>
        <w:tc>
          <w:tcPr>
            <w:tcW w:type="dxa" w:w="4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Sustained example (fixture)</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0.870</w:t>
            </w:r>
          </w:p>
        </w:tc>
        <w:tc>
          <w:tcPr>
            <w:tcW w:type="dxa" w:w="3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Should be high — is</w:t>
            </w:r>
          </w:p>
        </w:tc>
      </w:tr>
      <w:tr>
        <w:tc>
          <w:tcPr>
            <w:tcW w:type="dxa" w:w="4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Repetitive filler (fixture)</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1.000</w:t>
            </w:r>
          </w:p>
        </w:tc>
        <w:tc>
          <w:tcPr>
            <w:tcW w:type="dxa" w:w="3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Should be low — is highest of all</w:t>
            </w:r>
          </w:p>
        </w:tc>
      </w:tr>
      <w:tr>
        <w:tc>
          <w:tcPr>
            <w:tcW w:type="dxa" w:w="4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Real lecture transcript</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0.141</w:t>
            </w:r>
          </w:p>
        </w:tc>
        <w:tc>
          <w:tcPr>
            <w:tcW w:type="dxa" w:w="3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Plausible, but untrustworthy given the above</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A passage of repetitive filler scored higher than a genuine sustained example at every setting. On a real transcript the measure returns a plausible-looking figure, which is precisely the danger: a number that looks reasonable while failing a controlled discrimination test would have been accepted had the test not been run.</w:t>
      </w:r>
    </w:p>
    <w:p>
      <w:pPr>
        <w:spacing w:after="160" w:line="276"/>
      </w:pPr>
      <w:r>
        <w:rPr>
          <w:rFonts w:ascii="Times New Roman" w:cs="Times New Roman" w:eastAsia="Times New Roman" w:hAnsi="Times New Roman"/>
          <w:color w:val="000000"/>
          <w:sz w:val="24"/>
          <w:szCs w:val="24"/>
        </w:rPr>
        <w:t xml:space="preserve">The cause is not tuning. An example is a semantic relation — a concrete instantiation of an abstract concept — not a surface form. Lexical recurrence cannot separate a recurring example from a repetitive speaker. The measure has been retained in the code marked as abandoned, with the self-test asserting the known failure so that any future fix is detected rather than assumed.</w:t>
      </w:r>
    </w:p>
    <w:p>
      <w:pPr>
        <w:spacing w:after="140" w:before="300"/>
      </w:pPr>
      <w:r>
        <w:rPr>
          <w:rFonts w:ascii="Times New Roman" w:cs="Times New Roman" w:eastAsia="Times New Roman" w:hAnsi="Times New Roman"/>
          <w:b/>
          <w:bCs/>
          <w:color w:val="000000"/>
          <w:sz w:val="24"/>
          <w:szCs w:val="24"/>
        </w:rPr>
        <w:t xml:space="preserve">6. Why This Supports the Design Rather Than Undermining It</w:t>
      </w:r>
    </w:p>
    <w:p>
      <w:pPr>
        <w:spacing w:after="160" w:line="276"/>
      </w:pPr>
      <w:r>
        <w:rPr>
          <w:rFonts w:ascii="Times New Roman" w:cs="Times New Roman" w:eastAsia="Times New Roman" w:hAnsi="Times New Roman"/>
          <w:color w:val="000000"/>
          <w:sz w:val="24"/>
          <w:szCs w:val="24"/>
        </w:rPr>
        <w:t xml:space="preserve">The published literature draws the same line. A two-step method using GPT-4 to segment and classify explanatory sequences in mathematics classrooms reported 92.4% agreement with an expert coding team on segmentation and 77.5% on classification — the same task attempted lexically here and abandoned. Separately, work on measuring instruction quality with language models reports that models match human rater agreement on discrete, low-inference variables while efficacy falls on high-inference ones.</w:t>
      </w:r>
    </w:p>
    <w:p>
      <w:pPr>
        <w:spacing w:after="160" w:line="276"/>
      </w:pPr>
      <w:r>
        <w:rPr>
          <w:rFonts w:ascii="Times New Roman" w:cs="Times New Roman" w:eastAsia="Times New Roman" w:hAnsi="Times New Roman"/>
          <w:color w:val="000000"/>
          <w:sz w:val="24"/>
          <w:szCs w:val="24"/>
        </w:rPr>
        <w:t xml:space="preserve">Taken together, these results locate the boundary between the automated stages: implementation has a surface form and is lexically measurable; example quality does not and is not. That boundary is a finding the project can report, rather than an obstacle it has to apologise for.</w:t>
      </w:r>
    </w:p>
    <w:p>
      <w:pPr>
        <w:spacing w:after="140" w:before="300"/>
      </w:pPr>
      <w:r>
        <w:rPr>
          <w:rFonts w:ascii="Times New Roman" w:cs="Times New Roman" w:eastAsia="Times New Roman" w:hAnsi="Times New Roman"/>
          <w:b/>
          <w:bCs/>
          <w:color w:val="000000"/>
          <w:sz w:val="24"/>
          <w:szCs w:val="24"/>
        </w:rPr>
        <w:t xml:space="preserve">7. What These Numbers Do Not Show</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Fitted on the same data.</w:t>
      </w:r>
      <w:r>
        <w:rPr>
          <w:rFonts w:ascii="Times New Roman" w:cs="Times New Roman" w:eastAsia="Times New Roman" w:hAnsi="Times New Roman"/>
          <w:color w:val="000000"/>
          <w:sz w:val="24"/>
          <w:szCs w:val="24"/>
        </w:rPr>
        <w:t xml:space="preserve"> The fix was chosen after seeing it fail on these same three lectures. A perfect rank agreement on the data used to design the measure is not independent validation of it. The measure must now be tested on lectures it has never seen, and that result, not this one, is what belongs in a paper as evidence.</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Sample size.</w:t>
      </w:r>
      <w:r>
        <w:rPr>
          <w:rFonts w:ascii="Times New Roman" w:cs="Times New Roman" w:eastAsia="Times New Roman" w:hAnsi="Times New Roman"/>
          <w:color w:val="000000"/>
          <w:sz w:val="24"/>
          <w:szCs w:val="24"/>
        </w:rPr>
        <w:t xml:space="preserve"> A coefficient of 1.00 over three points is not a meaningful statistic. It is reported because it is the honest summary of this set, not because it carries weight.</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Single rater.</w:t>
      </w:r>
      <w:r>
        <w:rPr>
          <w:rFonts w:ascii="Times New Roman" w:cs="Times New Roman" w:eastAsia="Times New Roman" w:hAnsi="Times New Roman"/>
          <w:color w:val="000000"/>
          <w:sz w:val="24"/>
          <w:szCs w:val="24"/>
        </w:rPr>
        <w:t xml:space="preserve"> The measure agrees with one rater, who also designed the rubric. Agreement with oneself is not reliability.</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No construct validity.</w:t>
      </w:r>
      <w:r>
        <w:rPr>
          <w:rFonts w:ascii="Times New Roman" w:cs="Times New Roman" w:eastAsia="Times New Roman" w:hAnsi="Times New Roman"/>
          <w:color w:val="000000"/>
          <w:sz w:val="24"/>
          <w:szCs w:val="24"/>
        </w:rPr>
        <w:t xml:space="preserve"> Nothing here tests whether the rubric score corresponds to teaching quality. It tests whether two measurement methods agree with each other.</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Caption quality.</w:t>
      </w:r>
      <w:r>
        <w:rPr>
          <w:rFonts w:ascii="Times New Roman" w:cs="Times New Roman" w:eastAsia="Times New Roman" w:hAnsi="Times New Roman"/>
          <w:color w:val="000000"/>
          <w:sz w:val="24"/>
          <w:szCs w:val="24"/>
        </w:rPr>
        <w:t xml:space="preserve"> The literal pattern still assumes English captions with punctuation preserved. Poor captions would degrade it, and that has not been tested.</w:t>
      </w:r>
    </w:p>
    <w:p>
      <w:pPr>
        <w:spacing w:after="140" w:before="300"/>
      </w:pPr>
      <w:r>
        <w:rPr>
          <w:rFonts w:ascii="Times New Roman" w:cs="Times New Roman" w:eastAsia="Times New Roman" w:hAnsi="Times New Roman"/>
          <w:b/>
          <w:bCs/>
          <w:color w:val="000000"/>
          <w:sz w:val="24"/>
          <w:szCs w:val="24"/>
        </w:rPr>
        <w:t xml:space="preserve">8. Immediate Next Step</w:t>
      </w:r>
    </w:p>
    <w:p>
      <w:pPr>
        <w:spacing w:after="160" w:line="276"/>
      </w:pPr>
      <w:r>
        <w:rPr>
          <w:rFonts w:ascii="Times New Roman" w:cs="Times New Roman" w:eastAsia="Times New Roman" w:hAnsi="Times New Roman"/>
          <w:color w:val="000000"/>
          <w:sz w:val="24"/>
          <w:szCs w:val="24"/>
        </w:rPr>
        <w:t xml:space="preserve">Hold these three lectures out and run the measure on a fresh set from a different course and instructor. If the ranking holds on lectures the measure was not designed against, that is a result worth reporting. If it does not, the fix was overfitted to one course and should be reported as such.</w:t>
      </w:r>
    </w:p>
    <w:p>
      <w:pPr>
        <w:spacing w:after="160" w:line="276"/>
      </w:pPr>
      <w:r>
        <w:rPr>
          <w:rFonts w:ascii="Times New Roman" w:cs="Times New Roman" w:eastAsia="Times New Roman" w:hAnsi="Times New Roman"/>
          <w:color w:val="000000"/>
          <w:sz w:val="24"/>
          <w:szCs w:val="24"/>
        </w:rPr>
        <w:t xml:space="preserve">A regression test now covers both faults found today: course-sense text must score zero evidence, and an abbreviation must not register as attribute access. Both assertions fail loudly if the behaviour returns.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2026-10-01T20:16:13.934Z</dcterms:created>
  <dcterms:modified xsi:type="dcterms:W3CDTF">2026-10-01T20:16:13.935Z</dcterms:modified>
</cp:coreProperties>
</file>

<file path=docProps/custom.xml><?xml version="1.0" encoding="utf-8"?>
<Properties xmlns="http://schemas.openxmlformats.org/officeDocument/2006/custom-properties" xmlns:vt="http://schemas.openxmlformats.org/officeDocument/2006/docPropsVTypes"/>
</file>