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4"/>
          <w:szCs w:val="24"/>
        </w:rPr>
        <w:t xml:space="preserve">Weekly Research Progress Report — Lecture Rating Matrix</w:t>
      </w:r>
    </w:p>
    <w:p>
      <w:pPr>
        <w:spacing w:after="320"/>
        <w:jc w:val="center"/>
      </w:pPr>
      <w:r>
        <w:rPr>
          <w:rFonts w:ascii="Times New Roman" w:cs="Times New Roman" w:eastAsia="Times New Roman" w:hAnsi="Times New Roman"/>
          <w:color w:val="000000"/>
          <w:sz w:val="24"/>
          <w:szCs w:val="24"/>
        </w:rPr>
        <w:t xml:space="preserve">Hamza Mehmood, prepared for Professor Maaz Amjad — October 1, 2026</w:t>
      </w:r>
    </w:p>
    <w:p>
      <w:pPr>
        <w:spacing w:after="160" w:line="276"/>
      </w:pPr>
      <w:r>
        <w:rPr>
          <w:rFonts w:ascii="Times New Roman" w:cs="Times New Roman" w:eastAsia="Times New Roman" w:hAnsi="Times New Roman"/>
          <w:b/>
          <w:bCs/>
          <w:color w:val="000000"/>
          <w:sz w:val="24"/>
          <w:szCs w:val="24"/>
        </w:rPr>
        <w:t xml:space="preserve">Headline: </w:t>
      </w:r>
      <w:r>
        <w:rPr>
          <w:rFonts w:ascii="Times New Roman" w:cs="Times New Roman" w:eastAsia="Times New Roman" w:hAnsi="Times New Roman"/>
          <w:color w:val="000000"/>
          <w:sz w:val="24"/>
          <w:szCs w:val="24"/>
        </w:rPr>
        <w:t xml:space="preserve">Last week's failure was diagnosed, the diagnosis was turned into a prediction, and the prediction was tested and supported. A replacement measure now ranks all three test lectures in the same order as my hand-scoring, where the original signal carried no rank information at all. A second measure was attempted, failed a controlled test, and was abandoned on evidence rather than kept because it produced plausible-looking numbers.</w:t>
      </w:r>
    </w:p>
    <w:p>
      <w:pPr>
        <w:spacing w:after="140" w:before="300"/>
      </w:pPr>
      <w:r>
        <w:rPr>
          <w:rFonts w:ascii="Times New Roman" w:cs="Times New Roman" w:eastAsia="Times New Roman" w:hAnsi="Times New Roman"/>
          <w:b/>
          <w:bCs/>
          <w:color w:val="000000"/>
          <w:sz w:val="24"/>
          <w:szCs w:val="24"/>
        </w:rPr>
        <w:t xml:space="preserve">1. What Was Tested</w:t>
      </w:r>
    </w:p>
    <w:p>
      <w:pPr>
        <w:spacing w:after="160" w:line="276"/>
      </w:pPr>
      <w:r>
        <w:rPr>
          <w:rFonts w:ascii="Times New Roman" w:cs="Times New Roman" w:eastAsia="Times New Roman" w:hAnsi="Times New Roman"/>
          <w:color w:val="000000"/>
          <w:sz w:val="24"/>
          <w:szCs w:val="24"/>
        </w:rPr>
        <w:t xml:space="preserve">The September 23 run found the Implementation signal ranking two lectures in the opposite order to hand-scoring. The explanation offered was that the marker list detects announcements of code rather than code itself: an instructor who dictates syntax directly announces nothing and scores zero.</w:t>
      </w:r>
    </w:p>
    <w:p>
      <w:pPr>
        <w:spacing w:after="160" w:line="276"/>
      </w:pPr>
      <w:r>
        <w:rPr>
          <w:rFonts w:ascii="Times New Roman" w:cs="Times New Roman" w:eastAsia="Times New Roman" w:hAnsi="Times New Roman"/>
          <w:b/>
          <w:bCs/>
          <w:color w:val="000000"/>
          <w:sz w:val="24"/>
          <w:szCs w:val="24"/>
        </w:rPr>
        <w:t xml:space="preserve">The prediction, written down before the test: </w:t>
      </w:r>
      <w:r>
        <w:rPr>
          <w:rFonts w:ascii="Times New Roman" w:cs="Times New Roman" w:eastAsia="Times New Roman" w:hAnsi="Times New Roman"/>
          <w:color w:val="000000"/>
          <w:sz w:val="24"/>
          <w:szCs w:val="24"/>
        </w:rPr>
        <w:t xml:space="preserve">if that explanation is right, a measure of spoken-code register should rank the OOP lecture above the 2D Lists lecture on Implementation, matching the hand-scores, where the original markers ranked them backwards. If it does not, the explanation is wrong and must not be reported as established.</w:t>
      </w:r>
    </w:p>
    <w:p>
      <w:pPr>
        <w:spacing w:after="140" w:before="300"/>
      </w:pPr>
      <w:r>
        <w:rPr>
          <w:rFonts w:ascii="Times New Roman" w:cs="Times New Roman" w:eastAsia="Times New Roman" w:hAnsi="Times New Roman"/>
          <w:b/>
          <w:bCs/>
          <w:color w:val="000000"/>
          <w:sz w:val="24"/>
          <w:szCs w:val="24"/>
        </w:rPr>
        <w:t xml:space="preserve">2.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2000"/>
        <w:gridCol w:w="2000"/>
      </w:tblGrid>
      <w:tr>
        <w:tc>
          <w:tcPr>
            <w:tcW w:type="dxa" w:w="37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18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Hand score</w:t>
            </w:r>
          </w:p>
        </w:tc>
        <w:tc>
          <w:tcPr>
            <w:tcW w:type="dxa" w:w="20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Original markers</w:t>
            </w:r>
          </w:p>
        </w:tc>
        <w:tc>
          <w:tcPr>
            <w:tcW w:type="dxa" w:w="20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Revised measure</w:t>
            </w:r>
          </w:p>
        </w:tc>
      </w:tr>
      <w:tr>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 OOP</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2.5 / 3.0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6.80</w:t>
            </w:r>
          </w:p>
        </w:tc>
      </w:tr>
      <w:tr>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 Nested Loops</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2.0 / 3.0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3.43</w:t>
            </w:r>
          </w:p>
        </w:tc>
      </w:tr>
      <w:tr>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 / 3.0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0.00</w:t>
            </w:r>
          </w:p>
        </w:tc>
      </w:tr>
      <w:tr>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Rank agreement with hand (Kendall tau)</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0.00</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b/>
          <w:bCs/>
          <w:color w:val="000000"/>
          <w:sz w:val="24"/>
          <w:szCs w:val="24"/>
        </w:rPr>
        <w:t xml:space="preserve">Verdict: </w:t>
      </w:r>
      <w:r>
        <w:rPr>
          <w:rFonts w:ascii="Times New Roman" w:cs="Times New Roman" w:eastAsia="Times New Roman" w:hAnsi="Times New Roman"/>
          <w:color w:val="000000"/>
          <w:sz w:val="24"/>
          <w:szCs w:val="24"/>
        </w:rPr>
        <w:t xml:space="preserve">The prediction is supported. The hand-scores rank OOP above 2D Lists. The original markers do not reproduce that order. The revised measure does, and also places the announcements clip at zero, which is where a clip containing no instruction belongs.</w:t>
      </w:r>
    </w:p>
    <w:p>
      <w:pPr>
        <w:spacing w:after="160" w:line="276"/>
      </w:pPr>
      <w:r>
        <w:rPr>
          <w:rFonts w:ascii="Times New Roman" w:cs="Times New Roman" w:eastAsia="Times New Roman" w:hAnsi="Times New Roman"/>
          <w:color w:val="000000"/>
          <w:sz w:val="24"/>
          <w:szCs w:val="24"/>
        </w:rPr>
        <w:t xml:space="preserve">Before any of this was compared, the analysis was re-run independently against the first lecture to confirm it reproduces the September 23 figures. It matched on all four quantities — word count, example markers, implementation markers and keyword coverage — which establishes that the measurement harness is correct rather than merely plausible.</w:t>
      </w:r>
    </w:p>
    <w:p>
      <w:pPr>
        <w:spacing w:after="140" w:before="300"/>
      </w:pPr>
      <w:r>
        <w:rPr>
          <w:rFonts w:ascii="Times New Roman" w:cs="Times New Roman" w:eastAsia="Times New Roman" w:hAnsi="Times New Roman"/>
          <w:b/>
          <w:bCs/>
          <w:color w:val="000000"/>
          <w:sz w:val="24"/>
          <w:szCs w:val="24"/>
        </w:rPr>
        <w:t xml:space="preserve">3. The First Fix Was Also Wrong</w:t>
      </w:r>
    </w:p>
    <w:p>
      <w:pPr>
        <w:spacing w:after="160" w:line="276"/>
      </w:pPr>
      <w:r>
        <w:rPr>
          <w:rFonts w:ascii="Times New Roman" w:cs="Times New Roman" w:eastAsia="Times New Roman" w:hAnsi="Times New Roman"/>
          <w:color w:val="000000"/>
          <w:sz w:val="24"/>
          <w:szCs w:val="24"/>
        </w:rPr>
        <w:t xml:space="preserve">The first version of the replacement measure satisfied the prediction and was still defective. It scored the announcements clip at 10.08, above a genuine lecture at 7.55, despite that clip containing no code and being hand-scored zero. Had the test covered only the two lectures the prediction concerned, this would have passed unnoticed and gone into the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0"/>
      </w:tblGrid>
      <w:tr>
        <w:tc>
          <w:tcPr>
            <w:tcW w:type="dxa" w:w="32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21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First attempt</w:t>
            </w:r>
          </w:p>
        </w:tc>
        <w:tc>
          <w:tcPr>
            <w:tcW w:type="dxa" w:w="21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After fix</w:t>
            </w:r>
          </w:p>
        </w:tc>
        <w:tc>
          <w:tcPr>
            <w:tcW w:type="dxa" w:w="21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Should be</w:t>
            </w:r>
          </w:p>
        </w:tc>
      </w:tr>
      <w:tr>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 OOP</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21.54</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6.80</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Highest</w:t>
            </w:r>
          </w:p>
        </w:tc>
      </w:tr>
      <w:tr>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7.55</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3.43</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Middle</w:t>
            </w:r>
          </w:p>
        </w:tc>
      </w:tr>
      <w:tr>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10.08</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0.00</w:t>
            </w:r>
          </w:p>
        </w:tc>
        <w:tc>
          <w:tcPr>
            <w:tcW w:type="dxa" w:w="2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Zero</w:t>
            </w:r>
          </w:p>
        </w:tc>
      </w:tr>
    </w:tbl>
    <w:p>
      <w:pPr>
        <w:spacing w:after="180"/>
      </w:pPr>
      <w:r>
        <w:rPr>
          <w:rFonts w:ascii="Times New Roman" w:cs="Times New Roman" w:eastAsia="Times New Roman" w:hAnsi="Times New Roman"/>
          <w:color w:val="000000"/>
          <w:sz w:val="24"/>
          <w:szCs w:val="24"/>
        </w:rPr>
        <w:t xml:space="preserve"/>
      </w:r>
    </w:p>
    <w:p>
      <w:pPr>
        <w:spacing w:after="100" w:before="200"/>
      </w:pPr>
      <w:r>
        <w:rPr>
          <w:rFonts w:ascii="Times New Roman" w:cs="Times New Roman" w:eastAsia="Times New Roman" w:hAnsi="Times New Roman"/>
          <w:b/>
          <w:bCs/>
          <w:i/>
          <w:iCs/>
          <w:color w:val="000000"/>
          <w:sz w:val="24"/>
          <w:szCs w:val="24"/>
        </w:rPr>
        <w:t xml:space="preserve">The cause is worth reporting in its own right</w:t>
      </w:r>
    </w:p>
    <w:p>
      <w:pPr>
        <w:spacing w:after="160" w:line="276"/>
      </w:pPr>
      <w:r>
        <w:rPr>
          <w:rFonts w:ascii="Times New Roman" w:cs="Times New Roman" w:eastAsia="Times New Roman" w:hAnsi="Times New Roman"/>
          <w:color w:val="000000"/>
          <w:sz w:val="24"/>
          <w:szCs w:val="24"/>
        </w:rPr>
        <w:t xml:space="preserve">Inspecting which patterns fired found it immediately. The word class fired three times in the announcements clip, in the sense of a course — our class, my class. Polysemy is not an incidental nuisance in this application: class, list, string, object and dictionary are all ordinary English words in an educational setting, which is precisely the domain the measure runs in. A second false match came from the abbreviation p.m, which the attribute-access pattern read as code. The short transcript then amplified both, since four spurious tokens across 397 words produce a high rate.</w:t>
      </w:r>
    </w:p>
    <w:p>
      <w:pPr>
        <w:spacing w:after="160" w:line="276"/>
      </w:pPr>
      <w:r>
        <w:rPr>
          <w:rFonts w:ascii="Times New Roman" w:cs="Times New Roman" w:eastAsia="Times New Roman" w:hAnsi="Times New Roman"/>
          <w:color w:val="000000"/>
          <w:sz w:val="24"/>
          <w:szCs w:val="24"/>
        </w:rPr>
        <w:t xml:space="preserve">The headline measure now uses high-specificity evidence only — spoken code punctuation such as dot, equals and bracket, plus literal code tokens, with the literal pattern tightened to require at least two characters either side of the dot. Language keywords are still counted and reported, but excluded from the score. Both faults now have regression tests: course-sense text must score zero, and an abbreviation must not register as attribute access.</w:t>
      </w:r>
    </w:p>
    <w:p>
      <w:pPr>
        <w:spacing w:after="140" w:before="300"/>
      </w:pPr>
      <w:r>
        <w:rPr>
          <w:rFonts w:ascii="Times New Roman" w:cs="Times New Roman" w:eastAsia="Times New Roman" w:hAnsi="Times New Roman"/>
          <w:b/>
          <w:bCs/>
          <w:color w:val="000000"/>
          <w:sz w:val="24"/>
          <w:szCs w:val="24"/>
        </w:rPr>
        <w:t xml:space="preserve">4. A Measure Abandoned on Evidence</w:t>
      </w:r>
    </w:p>
    <w:p>
      <w:pPr>
        <w:spacing w:after="160" w:line="276"/>
      </w:pPr>
      <w:r>
        <w:rPr>
          <w:rFonts w:ascii="Times New Roman" w:cs="Times New Roman" w:eastAsia="Times New Roman" w:hAnsi="Times New Roman"/>
          <w:color w:val="000000"/>
          <w:sz w:val="24"/>
          <w:szCs w:val="24"/>
        </w:rPr>
        <w:t xml:space="preserve">A second replacement was attempted for the Examples dimension: estimating how much of a transcript sits inside a developed example, rather than how often one is announced, so that a single sustained example would score correctly. Three variants were implemented and anchor windows of six, eight, twelve and twenty-five words were tested.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700"/>
      </w:tblGrid>
      <w:tr>
        <w:tc>
          <w:tcPr>
            <w:tcW w:type="dxa" w:w="39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Input</w:t>
            </w:r>
          </w:p>
        </w:tc>
        <w:tc>
          <w:tcPr>
            <w:tcW w:type="dxa" w:w="19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Span ratio</w:t>
            </w:r>
          </w:p>
        </w:tc>
        <w:tc>
          <w:tcPr>
            <w:tcW w:type="dxa" w:w="37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Expected</w:t>
            </w:r>
          </w:p>
        </w:tc>
      </w:tr>
      <w:tr>
        <w:tc>
          <w:tcPr>
            <w:tcW w:type="dxa" w:w="3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Sustained example (fixture)</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0.870</w:t>
            </w:r>
          </w:p>
        </w:tc>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High</w:t>
            </w:r>
          </w:p>
        </w:tc>
      </w:tr>
      <w:tr>
        <w:tc>
          <w:tcPr>
            <w:tcW w:type="dxa" w:w="3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Repetitive filler (fixture)</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1.000</w:t>
            </w:r>
          </w:p>
        </w:tc>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Low — scored highest instead</w:t>
            </w:r>
          </w:p>
        </w:tc>
      </w:tr>
      <w:tr>
        <w:tc>
          <w:tcPr>
            <w:tcW w:type="dxa" w:w="3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Real lecture transcript</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0.141</w:t>
            </w:r>
          </w:p>
        </w:tc>
        <w:tc>
          <w:tcPr>
            <w:tcW w:type="dxa" w:w="3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Plausible, but untrustworthy</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Repetitive filler scored higher than a genuine sustained example at every setting. On a real transcript the measure returns 0.141, which looks entirely reasonable — and that is the danger. A plausible number that fails a controlled discrimination test would have been accepted had the test not been built.</w:t>
      </w:r>
    </w:p>
    <w:p>
      <w:pPr>
        <w:spacing w:after="160" w:line="276"/>
      </w:pPr>
      <w:r>
        <w:rPr>
          <w:rFonts w:ascii="Times New Roman" w:cs="Times New Roman" w:eastAsia="Times New Roman" w:hAnsi="Times New Roman"/>
          <w:color w:val="000000"/>
          <w:sz w:val="24"/>
          <w:szCs w:val="24"/>
        </w:rPr>
        <w:t xml:space="preserve">The cause is not tuning. An example is a semantic relation, a concrete instantiation of an abstract concept, and not a surface form. Lexical recurrence cannot separate a recurring example from a repetitive speaker. The function is retained in the code marked as abandoned, with the self-test asserting the known failure so that any future fix is detected rather than assumed.</w:t>
      </w:r>
    </w:p>
    <w:p>
      <w:pPr>
        <w:spacing w:after="140" w:before="300"/>
      </w:pPr>
      <w:r>
        <w:rPr>
          <w:rFonts w:ascii="Times New Roman" w:cs="Times New Roman" w:eastAsia="Times New Roman" w:hAnsi="Times New Roman"/>
          <w:b/>
          <w:bCs/>
          <w:color w:val="000000"/>
          <w:sz w:val="24"/>
          <w:szCs w:val="24"/>
        </w:rPr>
        <w:t xml:space="preserve">5. Where This Places the Design</w:t>
      </w:r>
    </w:p>
    <w:p>
      <w:pPr>
        <w:spacing w:after="160" w:line="276"/>
      </w:pPr>
      <w:r>
        <w:rPr>
          <w:rFonts w:ascii="Times New Roman" w:cs="Times New Roman" w:eastAsia="Times New Roman" w:hAnsi="Times New Roman"/>
          <w:color w:val="000000"/>
          <w:sz w:val="24"/>
          <w:szCs w:val="24"/>
        </w:rPr>
        <w:t xml:space="preserve">The two results together draw a line through the pipeline. Implementation has a surface form when spoken and is lexically measurable once polysemy is controlled. Example quality has no surface form and is not. That boundary is a finding the project can report rather than a limitation it has to apologise for.</w:t>
      </w:r>
    </w:p>
    <w:p>
      <w:pPr>
        <w:spacing w:after="160" w:line="276"/>
      </w:pPr>
      <w:r>
        <w:rPr>
          <w:rFonts w:ascii="Times New Roman" w:cs="Times New Roman" w:eastAsia="Times New Roman" w:hAnsi="Times New Roman"/>
          <w:color w:val="000000"/>
          <w:sz w:val="24"/>
          <w:szCs w:val="24"/>
        </w:rPr>
        <w:t xml:space="preserve">The published literature draws the same line. A two-step method using GPT-4 to segment and classify explanatory sequences in secondary mathematics classrooms reported 92.4% agreement with an expert coding team on segmentation and 77.5% on classification — the same task attempted lexically here and abandoned. Separately, work on measuring instruction quality with language models reports that models match human rater agreement on discrete, low-inference variables while efficacy falls on high-inference ones. Example quality is high-inference; dictated code is low-inference. The results above are what that distinction looks like in our own data.</w:t>
      </w:r>
    </w:p>
    <w:p>
      <w:pPr>
        <w:spacing w:after="140" w:before="300"/>
      </w:pPr>
      <w:r>
        <w:rPr>
          <w:rFonts w:ascii="Times New Roman" w:cs="Times New Roman" w:eastAsia="Times New Roman" w:hAnsi="Times New Roman"/>
          <w:b/>
          <w:bCs/>
          <w:color w:val="000000"/>
          <w:sz w:val="24"/>
          <w:szCs w:val="24"/>
        </w:rPr>
        <w:t xml:space="preserve">6. Limitations</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Fitted on the same data.</w:t>
      </w:r>
      <w:r>
        <w:rPr>
          <w:rFonts w:ascii="Times New Roman" w:cs="Times New Roman" w:eastAsia="Times New Roman" w:hAnsi="Times New Roman"/>
          <w:color w:val="000000"/>
          <w:sz w:val="24"/>
          <w:szCs w:val="24"/>
        </w:rPr>
        <w:t xml:space="preserve"> The fix was chosen after watching it fail on these same three lectures. A perfect rank agreement on the data used to design the measure is not independent validation. The measure must now be tested on lectures it has never seen, and that result, not this one, is the one that belongs in a paper.</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Sample size.</w:t>
      </w:r>
      <w:r>
        <w:rPr>
          <w:rFonts w:ascii="Times New Roman" w:cs="Times New Roman" w:eastAsia="Times New Roman" w:hAnsi="Times New Roman"/>
          <w:color w:val="000000"/>
          <w:sz w:val="24"/>
          <w:szCs w:val="24"/>
        </w:rPr>
        <w:t xml:space="preserve"> A coefficient of 1.00 over three points is not a meaningful statistic. It is reported because it is the honest summary of this set, not because it carries weight.</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Single rater.</w:t>
      </w:r>
      <w:r>
        <w:rPr>
          <w:rFonts w:ascii="Times New Roman" w:cs="Times New Roman" w:eastAsia="Times New Roman" w:hAnsi="Times New Roman"/>
          <w:color w:val="000000"/>
          <w:sz w:val="24"/>
          <w:szCs w:val="24"/>
        </w:rPr>
        <w:t xml:space="preserve"> Every hand-score was produced by one person, who also designed the rubric. Agreement with oneself is not reliability.</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No construct validity.</w:t>
      </w:r>
      <w:r>
        <w:rPr>
          <w:rFonts w:ascii="Times New Roman" w:cs="Times New Roman" w:eastAsia="Times New Roman" w:hAnsi="Times New Roman"/>
          <w:color w:val="000000"/>
          <w:sz w:val="24"/>
          <w:szCs w:val="24"/>
        </w:rPr>
        <w:t xml:space="preserve"> Nothing here tests whether a rubric score corresponds to teaching quality. It tests whether two measurement methods agree with each other.</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Caption quality.</w:t>
      </w:r>
      <w:r>
        <w:rPr>
          <w:rFonts w:ascii="Times New Roman" w:cs="Times New Roman" w:eastAsia="Times New Roman" w:hAnsi="Times New Roman"/>
          <w:color w:val="000000"/>
          <w:sz w:val="24"/>
          <w:szCs w:val="24"/>
        </w:rPr>
        <w:t xml:space="preserve"> The literal pattern assumes English captions with punctuation preserved. Degraded captions have not been tested.</w:t>
      </w:r>
    </w:p>
    <w:p>
      <w:pPr>
        <w:spacing w:after="140" w:before="300"/>
      </w:pPr>
      <w:r>
        <w:rPr>
          <w:rFonts w:ascii="Times New Roman" w:cs="Times New Roman" w:eastAsia="Times New Roman" w:hAnsi="Times New Roman"/>
          <w:b/>
          <w:bCs/>
          <w:color w:val="000000"/>
          <w:sz w:val="24"/>
          <w:szCs w:val="24"/>
        </w:rPr>
        <w:t xml:space="preserve">7. Next Steps</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Hold these three lectures out and run the measure on a fresh set from a different course and instructor. If the ranking holds on unseen lectures that is a reportable result; if it does not, the fix was overfitted to one course and should be reported as such.</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Build Stage 3, the reason-before-score judge, which is now where example quality has to be handled rather than an enhancement to the lexical pass.</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Recruit a second independent rater. This is the longest-lead item and the one that determines whether the central research question can be answered at all.</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Obtain real syllabus text so topic coverage is measured against the course outline rather than my reconstruction of it.</w:t>
      </w:r>
    </w:p>
    <w:p>
      <w:pPr>
        <w:spacing w:after="140" w:before="300"/>
      </w:pPr>
      <w:r>
        <w:rPr>
          <w:rFonts w:ascii="Times New Roman" w:cs="Times New Roman" w:eastAsia="Times New Roman" w:hAnsi="Times New Roman"/>
          <w:b/>
          <w:bCs/>
          <w:color w:val="000000"/>
          <w:sz w:val="24"/>
          <w:szCs w:val="24"/>
        </w:rPr>
        <w:t xml:space="preserve">8. On the Conference Submission</w:t>
      </w:r>
    </w:p>
    <w:p>
      <w:pPr>
        <w:spacing w:after="160" w:line="276"/>
      </w:pPr>
      <w:r>
        <w:rPr>
          <w:rFonts w:ascii="Times New Roman" w:cs="Times New Roman" w:eastAsia="Times New Roman" w:hAnsi="Times New Roman"/>
          <w:color w:val="000000"/>
          <w:sz w:val="24"/>
          <w:szCs w:val="24"/>
        </w:rPr>
        <w:t xml:space="preserve">A separate status document sets out the milestones reached, the weaknesses a reviewer will raise, and a dated plan to submission. Two decisions are needed from you: how many lectures and how many courses are realistic to collect, and whether a second person can independently rate a subset. The second question matters most, because without it no agreement claim can be made.</w:t>
      </w:r>
    </w:p>
    <w:p>
      <w:pPr>
        <w:spacing w:after="160" w:line="276"/>
      </w:pPr>
      <w:r>
        <w:rPr>
          <w:rFonts w:ascii="Times New Roman" w:cs="Times New Roman" w:eastAsia="Times New Roman" w:hAnsi="Times New Roman"/>
          <w:color w:val="000000"/>
          <w:sz w:val="24"/>
          <w:szCs w:val="24"/>
        </w:rPr>
        <w:t xml:space="preserve">On framing, the strongest available contribution does not depend on the pipeline succeeding. It is that scoring lecture content from transcripts is a measurement problem, and this work shows which parts of it are lexically tractable and which are irreducibly semantic. The inversion, the polysemy false positive and the abandoned measure are findings rather than setbacks, and a paper reporting them honestly alongside a working component is stronger than one claiming uniform success on a handful of lectures.</w:t>
      </w:r>
    </w:p>
    <w:p>
      <w:pPr>
        <w:spacing w:after="140" w:before="300"/>
      </w:pPr>
      <w:r>
        <w:rPr>
          <w:rFonts w:ascii="Times New Roman" w:cs="Times New Roman" w:eastAsia="Times New Roman" w:hAnsi="Times New Roman"/>
          <w:b/>
          <w:bCs/>
          <w:color w:val="000000"/>
          <w:sz w:val="24"/>
          <w:szCs w:val="24"/>
        </w:rPr>
        <w:t xml:space="preserve">Attached</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Calibration results, with the replication check, the false positive and the final figures.</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Project status and path to conference submission.</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Raw calibration output and the revised module, in the repository.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2026-10-01T20:19:17.030Z</dcterms:created>
  <dcterms:modified xsi:type="dcterms:W3CDTF">2026-10-01T20:19:17.032Z</dcterms:modified>
</cp:coreProperties>
</file>

<file path=docProps/custom.xml><?xml version="1.0" encoding="utf-8"?>
<Properties xmlns="http://schemas.openxmlformats.org/officeDocument/2006/custom-properties" xmlns:vt="http://schemas.openxmlformats.org/officeDocument/2006/docPropsVTypes"/>
</file>