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000000"/>
          <w:sz w:val="24"/>
          <w:szCs w:val="24"/>
        </w:rPr>
        <w:t xml:space="preserve">Lecture Rating Matrix: Project Status and Path to Conference Submission</w:t>
      </w:r>
    </w:p>
    <w:p>
      <w:pPr>
        <w:spacing w:after="320"/>
        <w:jc w:val="center"/>
      </w:pPr>
      <w:r>
        <w:rPr>
          <w:rFonts w:ascii="Times New Roman" w:cs="Times New Roman" w:eastAsia="Times New Roman" w:hAnsi="Times New Roman"/>
          <w:color w:val="000000"/>
          <w:sz w:val="24"/>
          <w:szCs w:val="24"/>
        </w:rPr>
        <w:t xml:space="preserve">Hamza Mehmood, prepared for Professor Maaz Amjad — October 1, 2026</w:t>
      </w:r>
    </w:p>
    <w:p>
      <w:pPr>
        <w:spacing w:after="160" w:line="276"/>
      </w:pPr>
      <w:r>
        <w:rPr>
          <w:rFonts w:ascii="Times New Roman" w:cs="Times New Roman" w:eastAsia="Times New Roman" w:hAnsi="Times New Roman"/>
          <w:b/>
          <w:bCs/>
          <w:color w:val="000000"/>
          <w:sz w:val="24"/>
          <w:szCs w:val="24"/>
        </w:rPr>
        <w:t xml:space="preserve">Purpose of this document: </w:t>
      </w:r>
      <w:r>
        <w:rPr>
          <w:rFonts w:ascii="Times New Roman" w:cs="Times New Roman" w:eastAsia="Times New Roman" w:hAnsi="Times New Roman"/>
          <w:color w:val="000000"/>
          <w:sz w:val="24"/>
          <w:szCs w:val="24"/>
        </w:rPr>
        <w:t xml:space="preserve">Now that a conference submission is the goal, this sets out what the project has actually established, what it cannot yet claim, and what has to be true before the work is defensible to reviewers. It is deliberately critical. A reviewer will be, and it is cheaper to find the weaknesses now.</w:t>
      </w:r>
    </w:p>
    <w:p>
      <w:pPr>
        <w:spacing w:after="140" w:before="300"/>
      </w:pPr>
      <w:r>
        <w:rPr>
          <w:rFonts w:ascii="Times New Roman" w:cs="Times New Roman" w:eastAsia="Times New Roman" w:hAnsi="Times New Roman"/>
          <w:b/>
          <w:bCs/>
          <w:color w:val="000000"/>
          <w:sz w:val="24"/>
          <w:szCs w:val="24"/>
        </w:rPr>
        <w:t xml:space="preserve">1. Milestones Reached</w:t>
      </w:r>
    </w:p>
    <w:p>
      <w:pPr>
        <w:spacing w:after="160" w:line="276"/>
      </w:pPr>
      <w:r>
        <w:rPr>
          <w:rFonts w:ascii="Times New Roman" w:cs="Times New Roman" w:eastAsia="Times New Roman" w:hAnsi="Times New Roman"/>
          <w:color w:val="000000"/>
          <w:sz w:val="24"/>
          <w:szCs w:val="24"/>
        </w:rPr>
        <w:t xml:space="preserve">The work to date is a real sequence of milestones, not a collection of documents. Each one is listed with the evidence that it was genuinely reached rather than merely attempted.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3200"/>
        <w:gridCol w:w="4600"/>
      </w:tblGrid>
      <w:tr>
        <w:tc>
          <w:tcPr>
            <w:tcW w:type="dxa" w:w="7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w:t>
            </w:r>
          </w:p>
        </w:tc>
        <w:tc>
          <w:tcPr>
            <w:tcW w:type="dxa" w:w="11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Date</w:t>
            </w:r>
          </w:p>
        </w:tc>
        <w:tc>
          <w:tcPr>
            <w:tcW w:type="dxa" w:w="32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Milestone</w:t>
            </w:r>
          </w:p>
        </w:tc>
        <w:tc>
          <w:tcPr>
            <w:tcW w:type="dxa" w:w="46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Evidence it was actually reached</w:t>
            </w:r>
          </w:p>
        </w:tc>
      </w:tr>
      <w:tr>
        <w:tc>
          <w:tcPr>
            <w:tcW w:type="dxa" w:w="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M1</w:t>
            </w:r>
          </w:p>
        </w:tc>
        <w:tc>
          <w:tcPr>
            <w:tcW w:type="dxa" w:w="11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Aug 27</w:t>
            </w:r>
          </w:p>
        </w:tc>
        <w:tc>
          <w:tcPr>
            <w:tcW w:type="dxa" w:w="3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Rubric v1 designed and grounded in prior work</w:t>
            </w:r>
          </w:p>
        </w:tc>
        <w:tc>
          <w:tcPr>
            <w:tcW w:type="dxa" w:w="46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Four weighted dimensions, 13 sub-criteria summing to 10. Decomposition and reason-before-score pattern taken from the supervisor's published rubric work.</w:t>
            </w:r>
          </w:p>
        </w:tc>
      </w:tr>
      <w:tr>
        <w:tc>
          <w:tcPr>
            <w:tcW w:type="dxa" w:w="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M2</w:t>
            </w:r>
          </w:p>
        </w:tc>
        <w:tc>
          <w:tcPr>
            <w:tcW w:type="dxa" w:w="11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Aug 27</w:t>
            </w:r>
          </w:p>
        </w:tc>
        <w:tc>
          <w:tcPr>
            <w:tcW w:type="dxa" w:w="3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Pipeline scaffolded, pilot applied</w:t>
            </w:r>
          </w:p>
        </w:tc>
        <w:tc>
          <w:tcPr>
            <w:tcW w:type="dxa" w:w="46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Four-stage architecture defined. Rubric hand-applied to MIT 6.100L Lecture 1, scoring 5.5/10, with the low Implementation score correctly reflecting a conceptual session.</w:t>
            </w:r>
          </w:p>
        </w:tc>
      </w:tr>
      <w:tr>
        <w:tc>
          <w:tcPr>
            <w:tcW w:type="dxa" w:w="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M3</w:t>
            </w:r>
          </w:p>
        </w:tc>
        <w:tc>
          <w:tcPr>
            <w:tcW w:type="dxa" w:w="11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Sep 9</w:t>
            </w:r>
          </w:p>
        </w:tc>
        <w:tc>
          <w:tcPr>
            <w:tcW w:type="dxa" w:w="3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Multi-lecture testing; first failure case found</w:t>
            </w:r>
          </w:p>
        </w:tc>
        <w:tc>
          <w:tcPr>
            <w:tcW w:type="dxa" w:w="46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Three Howard CSCI 100 lectures hand-scored. The third exposed a mislabelled video that the rubric scored 1.0/10, producing the content-verification requirement.</w:t>
            </w:r>
          </w:p>
        </w:tc>
      </w:tr>
      <w:tr>
        <w:tc>
          <w:tcPr>
            <w:tcW w:type="dxa" w:w="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M4</w:t>
            </w:r>
          </w:p>
        </w:tc>
        <w:tc>
          <w:tcPr>
            <w:tcW w:type="dxa" w:w="11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Sep 16–21</w:t>
            </w:r>
          </w:p>
        </w:tc>
        <w:tc>
          <w:tcPr>
            <w:tcW w:type="dxa" w:w="3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Literature position established</w:t>
            </w:r>
          </w:p>
        </w:tc>
        <w:tc>
          <w:tcPr>
            <w:tcW w:type="dxa" w:w="46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Eleven papers synthesised. Survey of deployed systems (TeachFX, M-Powering Teachers, TalkMoves, LLM-Rubric) established that no existing system scores content coverage, examples or implementation.</w:t>
            </w:r>
          </w:p>
        </w:tc>
      </w:tr>
      <w:tr>
        <w:tc>
          <w:tcPr>
            <w:tcW w:type="dxa" w:w="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M5</w:t>
            </w:r>
          </w:p>
        </w:tc>
        <w:tc>
          <w:tcPr>
            <w:tcW w:type="dxa" w:w="11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Sep 23</w:t>
            </w:r>
          </w:p>
        </w:tc>
        <w:tc>
          <w:tcPr>
            <w:tcW w:type="dxa" w:w="3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First end-to-end automated run; two defects fixed</w:t>
            </w:r>
          </w:p>
        </w:tc>
        <w:tc>
          <w:tcPr>
            <w:tcW w:type="dxa" w:w="46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Stages 1–2 executed on real captions. A removed library method and a never-firing regex were found and fixed. Produced the project's first automated-versus-hand comparison.</w:t>
            </w:r>
          </w:p>
        </w:tc>
      </w:tr>
      <w:tr>
        <w:tc>
          <w:tcPr>
            <w:tcW w:type="dxa" w:w="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M6</w:t>
            </w:r>
          </w:p>
        </w:tc>
        <w:tc>
          <w:tcPr>
            <w:tcW w:type="dxa" w:w="11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Oct 1</w:t>
            </w:r>
          </w:p>
        </w:tc>
        <w:tc>
          <w:tcPr>
            <w:tcW w:type="dxa" w:w="3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Measure revision and diagnostic test</w:t>
            </w:r>
          </w:p>
        </w:tc>
        <w:tc>
          <w:tcPr>
            <w:tcW w:type="dxa" w:w="46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Replacement measures implemented, one validated and one abandoned on evidence. Falsifiable prediction stated and tested. Self-test fixture now covers all 19 patterns.</w:t>
            </w:r>
          </w:p>
        </w:tc>
      </w:tr>
    </w:tbl>
    <w:p>
      <w:pPr>
        <w:spacing w:after="180"/>
      </w:pPr>
      <w:r>
        <w:rPr>
          <w:rFonts w:ascii="Times New Roman" w:cs="Times New Roman" w:eastAsia="Times New Roman" w:hAnsi="Times New Roman"/>
          <w:color w:val="000000"/>
          <w:sz w:val="24"/>
          <w:szCs w:val="24"/>
        </w:rPr>
        <w:t xml:space="preserve"/>
      </w:r>
    </w:p>
    <w:p>
      <w:pPr>
        <w:spacing w:after="140" w:before="300"/>
      </w:pPr>
      <w:r>
        <w:rPr>
          <w:rFonts w:ascii="Times New Roman" w:cs="Times New Roman" w:eastAsia="Times New Roman" w:hAnsi="Times New Roman"/>
          <w:b/>
          <w:bCs/>
          <w:color w:val="000000"/>
          <w:sz w:val="24"/>
          <w:szCs w:val="24"/>
        </w:rPr>
        <w:t xml:space="preserve">2. What the Project Can and Cannot Currently Claim</w:t>
      </w:r>
    </w:p>
    <w:p>
      <w:pPr>
        <w:spacing w:after="100" w:before="200"/>
      </w:pPr>
      <w:r>
        <w:rPr>
          <w:rFonts w:ascii="Times New Roman" w:cs="Times New Roman" w:eastAsia="Times New Roman" w:hAnsi="Times New Roman"/>
          <w:b/>
          <w:bCs/>
          <w:i/>
          <w:iCs/>
          <w:color w:val="000000"/>
          <w:sz w:val="24"/>
          <w:szCs w:val="24"/>
        </w:rPr>
        <w:t xml:space="preserve">Defensible today</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Rubric design.</w:t>
      </w:r>
      <w:r>
        <w:rPr>
          <w:rFonts w:ascii="Times New Roman" w:cs="Times New Roman" w:eastAsia="Times New Roman" w:hAnsi="Times New Roman"/>
          <w:color w:val="000000"/>
          <w:sz w:val="24"/>
          <w:szCs w:val="24"/>
        </w:rPr>
        <w:t xml:space="preserve"> A rubric that decomposes a lecture score into auditable sub-criteria, grounded in published rubric-evaluation work rather than invented.</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Literature position.</w:t>
      </w:r>
      <w:r>
        <w:rPr>
          <w:rFonts w:ascii="Times New Roman" w:cs="Times New Roman" w:eastAsia="Times New Roman" w:hAnsi="Times New Roman"/>
          <w:color w:val="000000"/>
          <w:sz w:val="24"/>
          <w:szCs w:val="24"/>
        </w:rPr>
        <w:t xml:space="preserve"> A documented gap: no deployed system scores lecture content coverage, example use or implementation. Verified against four deployed or open-sourced systems.</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A running pipeline.</w:t>
      </w:r>
      <w:r>
        <w:rPr>
          <w:rFonts w:ascii="Times New Roman" w:cs="Times New Roman" w:eastAsia="Times New Roman" w:hAnsi="Times New Roman"/>
          <w:color w:val="000000"/>
          <w:sz w:val="24"/>
          <w:szCs w:val="24"/>
        </w:rPr>
        <w:t xml:space="preserve"> A working extraction pipeline, with two defects found and fixed by executing it.</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A negative result.</w:t>
      </w:r>
      <w:r>
        <w:rPr>
          <w:rFonts w:ascii="Times New Roman" w:cs="Times New Roman" w:eastAsia="Times New Roman" w:hAnsi="Times New Roman"/>
          <w:color w:val="000000"/>
          <w:sz w:val="24"/>
          <w:szCs w:val="24"/>
        </w:rPr>
        <w:t xml:space="preserve"> An empirical negative result: lexical marker counts invert the hand-scored ranking on Implementation, and lexical span estimation cannot separate a sustained example from repetitive prose.</w:t>
      </w:r>
    </w:p>
    <w:p>
      <w:pPr>
        <w:pStyle w:val="ListParagraph"/>
        <w:numPr>
          <w:ilvl w:val="0"/>
          <w:numId w:val="2"/>
        </w:numPr>
        <w:spacing w:after="120" w:line="276"/>
      </w:pPr>
      <w:r>
        <w:rPr>
          <w:rFonts w:ascii="Times New Roman" w:cs="Times New Roman" w:eastAsia="Times New Roman" w:hAnsi="Times New Roman"/>
          <w:b/>
          <w:bCs/>
          <w:color w:val="000000"/>
          <w:sz w:val="24"/>
          <w:szCs w:val="24"/>
        </w:rPr>
        <w:t xml:space="preserve">A failure mode and its fix.</w:t>
      </w:r>
      <w:r>
        <w:rPr>
          <w:rFonts w:ascii="Times New Roman" w:cs="Times New Roman" w:eastAsia="Times New Roman" w:hAnsi="Times New Roman"/>
          <w:color w:val="000000"/>
          <w:sz w:val="24"/>
          <w:szCs w:val="24"/>
        </w:rPr>
        <w:t xml:space="preserve"> A verification gate validated on a real mislabelled video.</w:t>
      </w:r>
    </w:p>
    <w:p>
      <w:pPr>
        <w:spacing w:after="100" w:before="200"/>
      </w:pPr>
      <w:r>
        <w:rPr>
          <w:rFonts w:ascii="Times New Roman" w:cs="Times New Roman" w:eastAsia="Times New Roman" w:hAnsi="Times New Roman"/>
          <w:b/>
          <w:bCs/>
          <w:i/>
          <w:iCs/>
          <w:color w:val="000000"/>
          <w:sz w:val="24"/>
          <w:szCs w:val="24"/>
        </w:rPr>
        <w:t xml:space="preserve">Not defensible yet</w:t>
      </w:r>
    </w:p>
    <w:p>
      <w:pPr>
        <w:spacing w:after="160" w:line="276"/>
      </w:pPr>
      <w:r>
        <w:rPr>
          <w:rFonts w:ascii="Times New Roman" w:cs="Times New Roman" w:eastAsia="Times New Roman" w:hAnsi="Times New Roman"/>
          <w:color w:val="000000"/>
          <w:sz w:val="24"/>
          <w:szCs w:val="24"/>
        </w:rPr>
        <w:t xml:space="preserve">The central claim of the project — that an LLM can score lecture quality from a transcript in a way that agrees with human judgement — has not been tested at all. Stage 3 does not exist. Everything measured so far concerns lexical proxies that the project has now largely abandoned.</w:t>
      </w:r>
    </w:p>
    <w:p>
      <w:pPr>
        <w:spacing w:after="140" w:before="300"/>
      </w:pPr>
      <w:r>
        <w:rPr>
          <w:rFonts w:ascii="Times New Roman" w:cs="Times New Roman" w:eastAsia="Times New Roman" w:hAnsi="Times New Roman"/>
          <w:b/>
          <w:bCs/>
          <w:color w:val="000000"/>
          <w:sz w:val="24"/>
          <w:szCs w:val="24"/>
        </w:rPr>
        <w:t xml:space="preserve">3. Critical Weaknesses</w:t>
      </w:r>
    </w:p>
    <w:p>
      <w:pPr>
        <w:spacing w:after="160" w:line="276"/>
      </w:pPr>
      <w:r>
        <w:rPr>
          <w:rFonts w:ascii="Times New Roman" w:cs="Times New Roman" w:eastAsia="Times New Roman" w:hAnsi="Times New Roman"/>
          <w:color w:val="000000"/>
          <w:sz w:val="24"/>
          <w:szCs w:val="24"/>
        </w:rPr>
        <w:t xml:space="preserve">These are the objections a reviewer will raise, in the order they will raise them.</w:t>
      </w:r>
    </w:p>
    <w:p>
      <w:pPr>
        <w:pStyle w:val="ListParagraph"/>
        <w:numPr>
          <w:ilvl w:val="0"/>
          <w:numId w:val="3"/>
        </w:numPr>
        <w:spacing w:after="120" w:line="276"/>
      </w:pPr>
      <w:r>
        <w:rPr>
          <w:rFonts w:ascii="Times New Roman" w:cs="Times New Roman" w:eastAsia="Times New Roman" w:hAnsi="Times New Roman"/>
          <w:b/>
          <w:bCs/>
          <w:color w:val="000000"/>
          <w:sz w:val="24"/>
          <w:szCs w:val="24"/>
        </w:rPr>
        <w:t xml:space="preserve">Sample size.</w:t>
      </w:r>
      <w:r>
        <w:rPr>
          <w:rFonts w:ascii="Times New Roman" w:cs="Times New Roman" w:eastAsia="Times New Roman" w:hAnsi="Times New Roman"/>
          <w:color w:val="000000"/>
          <w:sz w:val="24"/>
          <w:szCs w:val="24"/>
        </w:rPr>
        <w:t xml:space="preserve"> Four lectures, three from one course taught by one instructor. No agreement statistic computed on this sample means anything. The comparable published study used 28 hours across six teachers. The project needs an order of magnitude more data.</w:t>
      </w:r>
    </w:p>
    <w:p>
      <w:pPr>
        <w:pStyle w:val="ListParagraph"/>
        <w:numPr>
          <w:ilvl w:val="0"/>
          <w:numId w:val="3"/>
        </w:numPr>
        <w:spacing w:after="120" w:line="276"/>
      </w:pPr>
      <w:r>
        <w:rPr>
          <w:rFonts w:ascii="Times New Roman" w:cs="Times New Roman" w:eastAsia="Times New Roman" w:hAnsi="Times New Roman"/>
          <w:b/>
          <w:bCs/>
          <w:color w:val="000000"/>
          <w:sz w:val="24"/>
          <w:szCs w:val="24"/>
        </w:rPr>
        <w:t xml:space="preserve">Single rater, who is also the rubric's author.</w:t>
      </w:r>
      <w:r>
        <w:rPr>
          <w:rFonts w:ascii="Times New Roman" w:cs="Times New Roman" w:eastAsia="Times New Roman" w:hAnsi="Times New Roman"/>
          <w:color w:val="000000"/>
          <w:sz w:val="24"/>
          <w:szCs w:val="24"/>
        </w:rPr>
        <w:t xml:space="preserve"> Every hand-score was produced by one person, who is also the person who designed the rubric. This is the most serious threat to the work. A rubric scored only by its author measures the author's consistency, not the rubric's. A second independent rater is not optional for publication.</w:t>
      </w:r>
    </w:p>
    <w:p>
      <w:pPr>
        <w:pStyle w:val="ListParagraph"/>
        <w:numPr>
          <w:ilvl w:val="0"/>
          <w:numId w:val="3"/>
        </w:numPr>
        <w:spacing w:after="120" w:line="276"/>
      </w:pPr>
      <w:r>
        <w:rPr>
          <w:rFonts w:ascii="Times New Roman" w:cs="Times New Roman" w:eastAsia="Times New Roman" w:hAnsi="Times New Roman"/>
          <w:b/>
          <w:bCs/>
          <w:color w:val="000000"/>
          <w:sz w:val="24"/>
          <w:szCs w:val="24"/>
        </w:rPr>
        <w:t xml:space="preserve">Circular keyword lists.</w:t>
      </w:r>
      <w:r>
        <w:rPr>
          <w:rFonts w:ascii="Times New Roman" w:cs="Times New Roman" w:eastAsia="Times New Roman" w:hAnsi="Times New Roman"/>
          <w:color w:val="000000"/>
          <w:sz w:val="24"/>
          <w:szCs w:val="24"/>
        </w:rPr>
        <w:t xml:space="preserve"> The syllabus keyword lists were written by the same person scoring coverage against them. Coverage figures currently measure agreement with a reconstruction, not with the course. Real syllabus text is needed, or the coverage dimension must be reported as unvalidated.</w:t>
      </w:r>
    </w:p>
    <w:p>
      <w:pPr>
        <w:pStyle w:val="ListParagraph"/>
        <w:numPr>
          <w:ilvl w:val="0"/>
          <w:numId w:val="3"/>
        </w:numPr>
        <w:spacing w:after="120" w:line="276"/>
      </w:pPr>
      <w:r>
        <w:rPr>
          <w:rFonts w:ascii="Times New Roman" w:cs="Times New Roman" w:eastAsia="Times New Roman" w:hAnsi="Times New Roman"/>
          <w:b/>
          <w:bCs/>
          <w:color w:val="000000"/>
          <w:sz w:val="24"/>
          <w:szCs w:val="24"/>
        </w:rPr>
        <w:t xml:space="preserve">No session-type conditioning.</w:t>
      </w:r>
      <w:r>
        <w:rPr>
          <w:rFonts w:ascii="Times New Roman" w:cs="Times New Roman" w:eastAsia="Times New Roman" w:hAnsi="Times New Roman"/>
          <w:color w:val="000000"/>
          <w:sz w:val="24"/>
          <w:szCs w:val="24"/>
        </w:rPr>
        <w:t xml:space="preserve"> MIT scored 5.5 and Howard 9.0, but a conceptual opening lecture and an implementation lecture are not on the same scale. The matrix still has no session-type conditioning, flagged in Week 1 and unresolved. Until it exists, scores cannot be compared across lectures and no aggregate is meaningful.</w:t>
      </w:r>
    </w:p>
    <w:p>
      <w:pPr>
        <w:pStyle w:val="ListParagraph"/>
        <w:numPr>
          <w:ilvl w:val="0"/>
          <w:numId w:val="3"/>
        </w:numPr>
        <w:spacing w:after="120" w:line="276"/>
      </w:pPr>
      <w:r>
        <w:rPr>
          <w:rFonts w:ascii="Times New Roman" w:cs="Times New Roman" w:eastAsia="Times New Roman" w:hAnsi="Times New Roman"/>
          <w:b/>
          <w:bCs/>
          <w:color w:val="000000"/>
          <w:sz w:val="24"/>
          <w:szCs w:val="24"/>
        </w:rPr>
        <w:t xml:space="preserve">No construct validity.</w:t>
      </w:r>
      <w:r>
        <w:rPr>
          <w:rFonts w:ascii="Times New Roman" w:cs="Times New Roman" w:eastAsia="Times New Roman" w:hAnsi="Times New Roman"/>
          <w:color w:val="000000"/>
          <w:sz w:val="24"/>
          <w:szCs w:val="24"/>
        </w:rPr>
        <w:t xml:space="preserve"> Nothing establishes that a high rubric score corresponds to better teaching. The score currently predicts nothing external. A reviewer will ask what the number is for. The honest answer today is that it is an auditable description, not a validated measure of quality.</w:t>
      </w:r>
    </w:p>
    <w:p>
      <w:pPr>
        <w:pStyle w:val="ListParagraph"/>
        <w:numPr>
          <w:ilvl w:val="0"/>
          <w:numId w:val="3"/>
        </w:numPr>
        <w:spacing w:after="120" w:line="276"/>
      </w:pPr>
      <w:r>
        <w:rPr>
          <w:rFonts w:ascii="Times New Roman" w:cs="Times New Roman" w:eastAsia="Times New Roman" w:hAnsi="Times New Roman"/>
          <w:b/>
          <w:bCs/>
          <w:color w:val="000000"/>
          <w:sz w:val="24"/>
          <w:szCs w:val="24"/>
        </w:rPr>
        <w:t xml:space="preserve">High-inference criteria.</w:t>
      </w:r>
      <w:r>
        <w:rPr>
          <w:rFonts w:ascii="Times New Roman" w:cs="Times New Roman" w:eastAsia="Times New Roman" w:hAnsi="Times New Roman"/>
          <w:color w:val="000000"/>
          <w:sz w:val="24"/>
          <w:szCs w:val="24"/>
        </w:rPr>
        <w:t xml:space="preserve"> The literature warns that language models match human agreement on discrete, low-inference variables and degrade on high-inference ones. Several sub-criteria, clarity above all, are high-inference. Expect them to fail and plan to report that rather than discover it late.</w:t>
      </w:r>
    </w:p>
    <w:p>
      <w:pPr>
        <w:spacing w:after="140" w:before="300"/>
      </w:pPr>
      <w:r>
        <w:rPr>
          <w:rFonts w:ascii="Times New Roman" w:cs="Times New Roman" w:eastAsia="Times New Roman" w:hAnsi="Times New Roman"/>
          <w:b/>
          <w:bCs/>
          <w:color w:val="000000"/>
          <w:sz w:val="24"/>
          <w:szCs w:val="24"/>
        </w:rPr>
        <w:t xml:space="preserve">4. What the Conference Paper Needs</w:t>
      </w:r>
    </w:p>
    <w:p>
      <w:pPr>
        <w:spacing w:after="100" w:before="200"/>
      </w:pPr>
      <w:r>
        <w:rPr>
          <w:rFonts w:ascii="Times New Roman" w:cs="Times New Roman" w:eastAsia="Times New Roman" w:hAnsi="Times New Roman"/>
          <w:b/>
          <w:bCs/>
          <w:i/>
          <w:iCs/>
          <w:color w:val="000000"/>
          <w:sz w:val="24"/>
          <w:szCs w:val="24"/>
        </w:rPr>
        <w:t xml:space="preserve">A contribution that does not depend on the pipeline succeeding</w:t>
      </w:r>
    </w:p>
    <w:p>
      <w:pPr>
        <w:spacing w:after="160" w:line="276"/>
      </w:pPr>
      <w:r>
        <w:rPr>
          <w:rFonts w:ascii="Times New Roman" w:cs="Times New Roman" w:eastAsia="Times New Roman" w:hAnsi="Times New Roman"/>
          <w:color w:val="000000"/>
          <w:sz w:val="24"/>
          <w:szCs w:val="24"/>
        </w:rPr>
        <w:t xml:space="preserve">The strongest available framing does not require the judge to work well. It is this: scoring lecture content from transcripts is a measurement problem, and we show which parts of it are lexically tractable and which are irreducibly semantic. The inversion result and the abandoned span measure are findings, not setbacks. A paper that reports an honest negative result alongside a working component is more publishable than one claiming uniform success on four lectures.</w:t>
      </w:r>
    </w:p>
    <w:p>
      <w:pPr>
        <w:spacing w:after="100" w:before="200"/>
      </w:pPr>
      <w:r>
        <w:rPr>
          <w:rFonts w:ascii="Times New Roman" w:cs="Times New Roman" w:eastAsia="Times New Roman" w:hAnsi="Times New Roman"/>
          <w:b/>
          <w:bCs/>
          <w:i/>
          <w:iCs/>
          <w:color w:val="000000"/>
          <w:sz w:val="24"/>
          <w:szCs w:val="24"/>
        </w:rPr>
        <w:t xml:space="preserve">Research questions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4600"/>
      </w:tblGrid>
      <w:tr>
        <w:tc>
          <w:tcPr>
            <w:tcW w:type="dxa" w:w="7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
            </w:r>
          </w:p>
        </w:tc>
        <w:tc>
          <w:tcPr>
            <w:tcW w:type="dxa" w:w="43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Research question</w:t>
            </w:r>
          </w:p>
        </w:tc>
        <w:tc>
          <w:tcPr>
            <w:tcW w:type="dxa" w:w="46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What answering it requires</w:t>
            </w:r>
          </w:p>
        </w:tc>
      </w:tr>
      <w:tr>
        <w:tc>
          <w:tcPr>
            <w:tcW w:type="dxa" w:w="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RQ1</w:t>
            </w:r>
          </w:p>
        </w:tc>
        <w:tc>
          <w:tcPr>
            <w:tcW w:type="dxa" w:w="43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Can an LLM judge score lecture topic coverage, example use and implementation from transcript text at a level of agreement comparable to human raters?</w:t>
            </w:r>
          </w:p>
        </w:tc>
        <w:tc>
          <w:tcPr>
            <w:tcW w:type="dxa" w:w="46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Two independent raters, a corpus large enough for Cohen's kappa, and the judge actually built.</w:t>
            </w:r>
          </w:p>
        </w:tc>
      </w:tr>
      <w:tr>
        <w:tc>
          <w:tcPr>
            <w:tcW w:type="dxa" w:w="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RQ2</w:t>
            </w:r>
          </w:p>
        </w:tc>
        <w:tc>
          <w:tcPr>
            <w:tcW w:type="dxa" w:w="43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Do lexical proxies suffice, or is semantic judgement necessary for each rubric dimension?</w:t>
            </w:r>
          </w:p>
        </w:tc>
        <w:tc>
          <w:tcPr>
            <w:tcW w:type="dxa" w:w="46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Already partly answered. The Sept 23 inversion and the Oct 1 abandonment are both evidence that some dimensions are not lexically measurable.</w:t>
            </w:r>
          </w:p>
        </w:tc>
      </w:tr>
      <w:tr>
        <w:tc>
          <w:tcPr>
            <w:tcW w:type="dxa" w:w="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RQ3</w:t>
            </w:r>
          </w:p>
        </w:tc>
        <w:tc>
          <w:tcPr>
            <w:tcW w:type="dxa" w:w="43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Which rubric dimensions are reliably machine-scorable and which are not?</w:t>
            </w:r>
          </w:p>
        </w:tc>
        <w:tc>
          <w:tcPr>
            <w:tcW w:type="dxa" w:w="46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Per-dimension agreement figures rather than a single aggregate, reported honestly including the dimensions that fail.</w:t>
            </w:r>
          </w:p>
        </w:tc>
      </w:tr>
    </w:tbl>
    <w:p>
      <w:pPr>
        <w:spacing w:after="180"/>
      </w:pPr>
      <w:r>
        <w:rPr>
          <w:rFonts w:ascii="Times New Roman" w:cs="Times New Roman" w:eastAsia="Times New Roman" w:hAnsi="Times New Roman"/>
          <w:color w:val="000000"/>
          <w:sz w:val="24"/>
          <w:szCs w:val="24"/>
        </w:rPr>
        <w:t xml:space="preserve"/>
      </w:r>
    </w:p>
    <w:p>
      <w:pPr>
        <w:spacing w:after="100" w:before="200"/>
      </w:pPr>
      <w:r>
        <w:rPr>
          <w:rFonts w:ascii="Times New Roman" w:cs="Times New Roman" w:eastAsia="Times New Roman" w:hAnsi="Times New Roman"/>
          <w:b/>
          <w:bCs/>
          <w:i/>
          <w:iCs/>
          <w:color w:val="000000"/>
          <w:sz w:val="24"/>
          <w:szCs w:val="24"/>
        </w:rPr>
        <w:t xml:space="preserve">The reliability bar, taken from comparable published work</w:t>
      </w:r>
    </w:p>
    <w:p>
      <w:pPr>
        <w:spacing w:after="160" w:line="276"/>
      </w:pPr>
      <w:r>
        <w:rPr>
          <w:rFonts w:ascii="Times New Roman" w:cs="Times New Roman" w:eastAsia="Times New Roman" w:hAnsi="Times New Roman"/>
          <w:color w:val="000000"/>
          <w:sz w:val="24"/>
          <w:szCs w:val="24"/>
        </w:rPr>
        <w:t xml:space="preserve">The nearest comparable study segmented and classified explanatory sequences in mathematics classrooms using a two-step GPT-4 method, reporting 92.4% agreement with an expert coding team on segmentation and 77.5% on classification, assessed by percentage agreement against a 68% floor and by Cohen's kappa read against the Landis and Koch bands. That is the standard this work will be measured against, and it is also direct evidence that the task we failed to do lexically is achievable with a model.</w:t>
      </w:r>
    </w:p>
    <w:p>
      <w:pPr>
        <w:spacing w:after="160" w:line="276"/>
      </w:pPr>
      <w:r>
        <w:rPr>
          <w:rFonts w:ascii="Times New Roman" w:cs="Times New Roman" w:eastAsia="Times New Roman" w:hAnsi="Times New Roman"/>
          <w:color w:val="000000"/>
          <w:sz w:val="24"/>
          <w:szCs w:val="24"/>
        </w:rPr>
        <w:t xml:space="preserve">Two further constraints come from the literature. Grading accuracy degrades sharply on fine-grained scales, which supports keeping sub-criteria binary or coarse. And a confidence threshold that defers uncertain cases to a human is a published recommendation rather than our invention, so it should be built in rather than added later.</w:t>
      </w:r>
    </w:p>
    <w:p>
      <w:pPr>
        <w:spacing w:after="100" w:before="200"/>
      </w:pPr>
      <w:r>
        <w:rPr>
          <w:rFonts w:ascii="Times New Roman" w:cs="Times New Roman" w:eastAsia="Times New Roman" w:hAnsi="Times New Roman"/>
          <w:b/>
          <w:bCs/>
          <w:i/>
          <w:iCs/>
          <w:color w:val="000000"/>
          <w:sz w:val="24"/>
          <w:szCs w:val="24"/>
        </w:rPr>
        <w:t xml:space="preserve">Threats to validity, stated in the paper rather than left for a reviewer</w:t>
      </w:r>
    </w:p>
    <w:p>
      <w:pPr>
        <w:spacing w:after="160" w:line="276"/>
      </w:pPr>
      <w:r>
        <w:rPr>
          <w:rFonts w:ascii="Times New Roman" w:cs="Times New Roman" w:eastAsia="Times New Roman" w:hAnsi="Times New Roman"/>
          <w:color w:val="000000"/>
          <w:sz w:val="24"/>
          <w:szCs w:val="24"/>
        </w:rPr>
        <w:t xml:space="preserve">Single-institution sample; rater independence; the circularity of author-scored rubrics; transcript quality and caption errors; and the absence of any outcome measure against which scores could be validated. Naming these is a strength. Omitting them invites rejection.</w:t>
      </w:r>
    </w:p>
    <w:p>
      <w:pPr>
        <w:spacing w:after="140" w:before="300"/>
      </w:pPr>
      <w:r>
        <w:rPr>
          <w:rFonts w:ascii="Times New Roman" w:cs="Times New Roman" w:eastAsia="Times New Roman" w:hAnsi="Times New Roman"/>
          <w:b/>
          <w:bCs/>
          <w:color w:val="000000"/>
          <w:sz w:val="24"/>
          <w:szCs w:val="24"/>
        </w:rPr>
        <w:t xml:space="preserve">5. Milestone Plan to Submission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400"/>
        <w:gridCol w:w="3000"/>
      </w:tblGrid>
      <w:tr>
        <w:tc>
          <w:tcPr>
            <w:tcW w:type="dxa" w:w="7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w:t>
            </w:r>
          </w:p>
        </w:tc>
        <w:tc>
          <w:tcPr>
            <w:tcW w:type="dxa" w:w="1500"/>
            <w:shd w:fill="EDEDED"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000000"/>
                <w:sz w:val="24"/>
                <w:szCs w:val="24"/>
              </w:rPr>
              <w:t xml:space="preserve">Target</w:t>
            </w:r>
          </w:p>
        </w:tc>
        <w:tc>
          <w:tcPr>
            <w:tcW w:type="dxa" w:w="34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Milestone</w:t>
            </w:r>
          </w:p>
        </w:tc>
        <w:tc>
          <w:tcPr>
            <w:tcW w:type="dxa" w:w="3000"/>
            <w:shd w:fill="EDEDED"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000000"/>
                <w:sz w:val="24"/>
                <w:szCs w:val="24"/>
              </w:rPr>
              <w:t xml:space="preserve">Blocking dependency</w:t>
            </w:r>
          </w:p>
        </w:tc>
      </w:tr>
      <w:tr>
        <w:tc>
          <w:tcPr>
            <w:tcW w:type="dxa" w:w="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M7</w:t>
            </w:r>
          </w:p>
        </w:tc>
        <w:tc>
          <w:tcPr>
            <w:tcW w:type="dxa" w:w="1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Oct</w:t>
            </w:r>
          </w:p>
        </w:tc>
        <w:tc>
          <w:tcPr>
            <w:tcW w:type="dxa" w:w="34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Stage 3 judge built: reason-before-score, unified prompt, per-criterion output with confidence</w:t>
            </w:r>
          </w:p>
        </w:tc>
        <w:tc>
          <w:tcPr>
            <w:tcW w:type="dxa" w:w="30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Model access</w:t>
            </w:r>
          </w:p>
        </w:tc>
      </w:tr>
      <w:tr>
        <w:tc>
          <w:tcPr>
            <w:tcW w:type="dxa" w:w="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M8</w:t>
            </w:r>
          </w:p>
        </w:tc>
        <w:tc>
          <w:tcPr>
            <w:tcW w:type="dxa" w:w="1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Oct–Nov</w:t>
            </w:r>
          </w:p>
        </w:tc>
        <w:tc>
          <w:tcPr>
            <w:tcW w:type="dxa" w:w="34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Corpus expanded to 25–30 lectures across at least three courses</w:t>
            </w:r>
          </w:p>
        </w:tc>
        <w:tc>
          <w:tcPr>
            <w:tcW w:type="dxa" w:w="30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Lecture selection; supervisor input on scope</w:t>
            </w:r>
          </w:p>
        </w:tc>
      </w:tr>
      <w:tr>
        <w:tc>
          <w:tcPr>
            <w:tcW w:type="dxa" w:w="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M9</w:t>
            </w:r>
          </w:p>
        </w:tc>
        <w:tc>
          <w:tcPr>
            <w:tcW w:type="dxa" w:w="1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Nov</w:t>
            </w:r>
          </w:p>
        </w:tc>
        <w:tc>
          <w:tcPr>
            <w:tcW w:type="dxa" w:w="34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Second rater recruited; both rate independently; Cohen's kappa computed</w:t>
            </w:r>
          </w:p>
        </w:tc>
        <w:tc>
          <w:tcPr>
            <w:tcW w:type="dxa" w:w="30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A second person — the single hardest dependency</w:t>
            </w:r>
          </w:p>
        </w:tc>
      </w:tr>
      <w:tr>
        <w:tc>
          <w:tcPr>
            <w:tcW w:type="dxa" w:w="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M10</w:t>
            </w:r>
          </w:p>
        </w:tc>
        <w:tc>
          <w:tcPr>
            <w:tcW w:type="dxa" w:w="1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Nov–Dec</w:t>
            </w:r>
          </w:p>
        </w:tc>
        <w:tc>
          <w:tcPr>
            <w:tcW w:type="dxa" w:w="34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Judge-versus-human agreement computed per dimension</w:t>
            </w:r>
          </w:p>
        </w:tc>
        <w:tc>
          <w:tcPr>
            <w:tcW w:type="dxa" w:w="30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M7, M8, M9</w:t>
            </w:r>
          </w:p>
        </w:tc>
      </w:tr>
      <w:tr>
        <w:tc>
          <w:tcPr>
            <w:tcW w:type="dxa" w:w="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M11</w:t>
            </w:r>
          </w:p>
        </w:tc>
        <w:tc>
          <w:tcPr>
            <w:tcW w:type="dxa" w:w="1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Dec</w:t>
            </w:r>
          </w:p>
        </w:tc>
        <w:tc>
          <w:tcPr>
            <w:tcW w:type="dxa" w:w="34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External check against the NCTE transcripts</w:t>
            </w:r>
          </w:p>
        </w:tc>
        <w:tc>
          <w:tcPr>
            <w:tcW w:type="dxa" w:w="30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Dataset access request</w:t>
            </w:r>
          </w:p>
        </w:tc>
      </w:tr>
      <w:tr>
        <w:tc>
          <w:tcPr>
            <w:tcW w:type="dxa" w:w="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M12</w:t>
            </w:r>
          </w:p>
        </w:tc>
        <w:tc>
          <w:tcPr>
            <w:tcW w:type="dxa" w:w="1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color w:val="000000"/>
                <w:sz w:val="24"/>
                <w:szCs w:val="24"/>
              </w:rPr>
              <w:t xml:space="preserve">Jan</w:t>
            </w:r>
          </w:p>
        </w:tc>
        <w:tc>
          <w:tcPr>
            <w:tcW w:type="dxa" w:w="34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Paper drafted and submitted</w:t>
            </w:r>
          </w:p>
        </w:tc>
        <w:tc>
          <w:tcPr>
            <w:tcW w:type="dxa" w:w="30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color w:val="000000"/>
                <w:sz w:val="24"/>
                <w:szCs w:val="24"/>
              </w:rPr>
              <w:t xml:space="preserve">All of the above</w:t>
            </w:r>
          </w:p>
        </w:tc>
      </w:tr>
    </w:tbl>
    <w:p>
      <w:pPr>
        <w:spacing w:after="180"/>
      </w:pPr>
      <w:r>
        <w:rPr>
          <w:rFonts w:ascii="Times New Roman" w:cs="Times New Roman" w:eastAsia="Times New Roman" w:hAnsi="Times New Roman"/>
          <w:color w:val="000000"/>
          <w:sz w:val="24"/>
          <w:szCs w:val="24"/>
        </w:rPr>
        <w:t xml:space="preserve"/>
      </w:r>
    </w:p>
    <w:p>
      <w:pPr>
        <w:spacing w:after="160" w:line="276"/>
      </w:pPr>
      <w:r>
        <w:rPr>
          <w:rFonts w:ascii="Times New Roman" w:cs="Times New Roman" w:eastAsia="Times New Roman" w:hAnsi="Times New Roman"/>
          <w:color w:val="000000"/>
          <w:sz w:val="24"/>
          <w:szCs w:val="24"/>
        </w:rPr>
        <w:t xml:space="preserve">M9 is the dependency that should be resolved first, because it has the longest lead time and the least control. A second rater could be another student, and the rating task can be scoped to a few hours if the rubric is well specified. Without it, no agreement claim can be made and the paper's central question cannot be answered.</w:t>
      </w:r>
    </w:p>
    <w:p>
      <w:pPr>
        <w:spacing w:after="140" w:before="300"/>
      </w:pPr>
      <w:r>
        <w:rPr>
          <w:rFonts w:ascii="Times New Roman" w:cs="Times New Roman" w:eastAsia="Times New Roman" w:hAnsi="Times New Roman"/>
          <w:b/>
          <w:bCs/>
          <w:color w:val="000000"/>
          <w:sz w:val="24"/>
          <w:szCs w:val="24"/>
        </w:rPr>
        <w:t xml:space="preserve">6. Two Decisions Needed From You</w:t>
      </w:r>
    </w:p>
    <w:p>
      <w:pPr>
        <w:pStyle w:val="ListParagraph"/>
        <w:numPr>
          <w:ilvl w:val="0"/>
          <w:numId w:val="4"/>
        </w:numPr>
        <w:spacing w:after="120" w:line="276"/>
      </w:pPr>
      <w:r>
        <w:rPr>
          <w:rFonts w:ascii="Times New Roman" w:cs="Times New Roman" w:eastAsia="Times New Roman" w:hAnsi="Times New Roman"/>
          <w:b/>
          <w:bCs/>
          <w:color w:val="000000"/>
          <w:sz w:val="24"/>
          <w:szCs w:val="24"/>
        </w:rPr>
        <w:t xml:space="preserve">Corpus scope.</w:t>
      </w:r>
      <w:r>
        <w:rPr>
          <w:rFonts w:ascii="Times New Roman" w:cs="Times New Roman" w:eastAsia="Times New Roman" w:hAnsi="Times New Roman"/>
          <w:color w:val="000000"/>
          <w:sz w:val="24"/>
          <w:szCs w:val="24"/>
        </w:rPr>
        <w:t xml:space="preserve"> Three Howard lectures from one instructor will not support the claim. How many lectures, from how many courses, is realistic to collect — and can lectures with real syllabus text be prioritised over ones where the topic list has to be reconstructed?</w:t>
      </w:r>
    </w:p>
    <w:p>
      <w:pPr>
        <w:pStyle w:val="ListParagraph"/>
        <w:numPr>
          <w:ilvl w:val="0"/>
          <w:numId w:val="4"/>
        </w:numPr>
        <w:spacing w:after="120" w:line="276"/>
      </w:pPr>
      <w:r>
        <w:rPr>
          <w:rFonts w:ascii="Times New Roman" w:cs="Times New Roman" w:eastAsia="Times New Roman" w:hAnsi="Times New Roman"/>
          <w:b/>
          <w:bCs/>
          <w:color w:val="000000"/>
          <w:sz w:val="24"/>
          <w:szCs w:val="24"/>
        </w:rPr>
        <w:t xml:space="preserve">A second rater.</w:t>
      </w:r>
      <w:r>
        <w:rPr>
          <w:rFonts w:ascii="Times New Roman" w:cs="Times New Roman" w:eastAsia="Times New Roman" w:hAnsi="Times New Roman"/>
          <w:color w:val="000000"/>
          <w:sz w:val="24"/>
          <w:szCs w:val="24"/>
        </w:rPr>
        <w:t xml:space="preserve"> Is there a second person who can independently rate a subset? This is the single change that moves the work from a prototype description to a measurement study, and it determines whether the paper can answer RQ1 at all.</w:t>
      </w:r>
    </w:p>
    <w:sectPr>
      <w:pgSz w:w="12240" w:h="15840" w:orient="portrait"/>
      <w:pgMar w:top="1440" w:right="1180" w:bottom="144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2026-10-01T19:59:21.428Z</dcterms:created>
  <dcterms:modified xsi:type="dcterms:W3CDTF">2026-10-01T19:59:21.430Z</dcterms:modified>
</cp:coreProperties>
</file>

<file path=docProps/custom.xml><?xml version="1.0" encoding="utf-8"?>
<Properties xmlns="http://schemas.openxmlformats.org/officeDocument/2006/custom-properties" xmlns:vt="http://schemas.openxmlformats.org/officeDocument/2006/docPropsVTypes"/>
</file>