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rFonts w:ascii="Calibri" w:cs="Calibri" w:eastAsia="Calibri" w:hAnsi="Calibri"/>
          <w:b/>
          <w:bCs/>
          <w:color w:val="C00000"/>
          <w:sz w:val="24"/>
          <w:szCs w:val="24"/>
        </w:rPr>
        <w:t xml:space="preserve">CONFIDENTIAL</w:t>
      </w:r>
    </w:p>
    <w:p>
      <w:pPr>
        <w:spacing w:after="100"/>
        <w:jc w:val="center"/>
      </w:pPr>
      <w:r>
        <w:rPr>
          <w:rFonts w:ascii="Calibri" w:cs="Calibri" w:eastAsia="Calibri" w:hAnsi="Calibri"/>
          <w:b/>
          <w:bCs/>
          <w:color w:val="1F3864"/>
          <w:sz w:val="44"/>
          <w:szCs w:val="44"/>
        </w:rPr>
        <w:t xml:space="preserve">ISO/IEC 27001:2022</w:t>
      </w:r>
    </w:p>
    <w:p>
      <w:pPr>
        <w:spacing w:after="100"/>
        <w:jc w:val="center"/>
      </w:pPr>
      <w:r>
        <w:rPr>
          <w:rFonts w:ascii="Calibri" w:cs="Calibri" w:eastAsia="Calibri" w:hAnsi="Calibri"/>
          <w:b/>
          <w:bCs/>
          <w:color w:val="1F3864"/>
          <w:sz w:val="40"/>
          <w:szCs w:val="40"/>
        </w:rPr>
        <w:t xml:space="preserve">Gap Analysis Report</w:t>
      </w:r>
    </w:p>
    <w:p>
      <w:pPr>
        <w:spacing w:after="800"/>
        <w:jc w:val="center"/>
      </w:pPr>
      <w:r>
        <w:rPr>
          <w:rFonts w:ascii="Calibri" w:cs="Calibri" w:eastAsia="Calibri" w:hAnsi="Calibri"/>
          <w:i/>
          <w:iCs/>
          <w:sz w:val="26"/>
          <w:szCs w:val="26"/>
        </w:rPr>
        <w:t xml:space="preserve">Access Control &amp; Supplier Relationship Domains</w:t>
      </w:r>
    </w:p>
    <w:p>
      <w:pPr>
        <w:spacing w:after="100"/>
        <w:jc w:val="center"/>
      </w:pPr>
      <w:r>
        <w:rPr>
          <w:rFonts w:ascii="Calibri" w:cs="Calibri" w:eastAsia="Calibri" w:hAnsi="Calibri"/>
          <w:b/>
          <w:bCs/>
          <w:sz w:val="28"/>
          <w:szCs w:val="28"/>
        </w:rPr>
        <w:t xml:space="preserve">Meridian Trust Financial Services</w:t>
      </w:r>
    </w:p>
    <w:p>
      <w:pPr>
        <w:spacing w:after="1200"/>
        <w:jc w:val="center"/>
      </w:pPr>
      <w:r>
        <w:rPr>
          <w:rFonts w:ascii="Calibri" w:cs="Calibri" w:eastAsia="Calibri" w:hAnsi="Calibri"/>
          <w:i/>
          <w:iCs/>
          <w:color w:val="808080"/>
          <w:sz w:val="20"/>
          <w:szCs w:val="20"/>
        </w:rPr>
        <w:t xml:space="preserve">(Fictional entity — GRC portfolio project)</w:t>
      </w:r>
    </w:p>
    <w:p>
      <w:pPr>
        <w:jc w:val="center"/>
      </w:pPr>
      <w:r>
        <w:rPr>
          <w:rFonts w:ascii="Calibri" w:cs="Calibri" w:eastAsia="Calibri" w:hAnsi="Calibri"/>
          <w:sz w:val="22"/>
          <w:szCs w:val="22"/>
        </w:rPr>
        <w:t xml:space="preserve">Assessment Date: July 4, 2026</w:t>
      </w:r>
    </w:p>
    <w:p>
      <w:pPr>
        <w:jc w:val="center"/>
      </w:pPr>
      <w:r>
        <w:rPr>
          <w:rFonts w:ascii="Calibri" w:cs="Calibri" w:eastAsia="Calibri" w:hAnsi="Calibri"/>
          <w:sz w:val="22"/>
          <w:szCs w:val="22"/>
        </w:rPr>
        <w:t xml:space="preserve">Prepared by: Paul Azeez Tunde Hamzat, Cybersecurity GRC Analyst</w:t>
      </w:r>
    </w:p>
    <w:p>
      <w:pPr>
        <w:jc w:val="center"/>
      </w:pPr>
      <w:r>
        <w:rPr>
          <w:rFonts w:ascii="Calibri" w:cs="Calibri" w:eastAsia="Calibri" w:hAnsi="Calibri"/>
          <w:sz w:val="22"/>
          <w:szCs w:val="22"/>
        </w:rPr>
        <w:t xml:space="preserve">Standard Reference: ISO/IEC 27001:2022 Annex A, ISO/IEC 27002:2022</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60"/>
      </w:pPr>
      <w:r>
        <w:rPr>
          <w:rFonts w:ascii="Calibri" w:cs="Calibri" w:eastAsia="Calibri" w:hAnsi="Calibri"/>
          <w:sz w:val="22"/>
          <w:szCs w:val="22"/>
        </w:rPr>
        <w:t xml:space="preserve">This report presents the results of an internal ISO/IEC 27001:2022 gap analysis conducted for Meridian Trust Financial Services, scoped to the Access Control (A.5.15–A.5.18, A.8.2–A.8.5) and Supplier / Third-Party Relationship (A.5.19–A.5.23) control domains. These domains were prioritized because Meridian Trust's architecture depends heavily on cloud infrastructure and third-party vendors, and two banking partners have made ISO 27001 certification a condition of continued integration.</w:t>
      </w:r>
    </w:p>
    <w:p>
      <w:pPr>
        <w:spacing w:after="160"/>
      </w:pPr>
      <w:r>
        <w:rPr>
          <w:rFonts w:ascii="Calibri" w:cs="Calibri" w:eastAsia="Calibri" w:hAnsi="Calibri"/>
          <w:sz w:val="22"/>
          <w:szCs w:val="22"/>
        </w:rPr>
        <w:t xml:space="preserve">Of the 13 controls assessed, one (Privileged Access Rights, A.8.2) was rated Critical risk, five were rated High, five Medium, and two Low. The average current maturity across all assessed controls is 1.92 on a 0–5 scale, indicating that most controls are performed inconsistently or informally rather than through documented, managed processes — the level typically required to pass an ISO 27001 certification audit.</w:t>
      </w:r>
    </w:p>
    <w:p>
      <w:pPr>
        <w:spacing w:after="160"/>
      </w:pPr>
      <w:r>
        <w:rPr>
          <w:rFonts w:ascii="Calibri" w:cs="Calibri" w:eastAsia="Calibri" w:hAnsi="Calibri"/>
          <w:sz w:val="22"/>
          <w:szCs w:val="22"/>
        </w:rPr>
        <w:t xml:space="preserve">The most urgent finding is the absence of a privileged access management capability: eight IT staff hold standing administrative access to the core AWS environment with no just-in-time elevation and no session monitoring. Supplier-facing controls are collectively the weakest area, with no formal vendor security due diligence, contractual security requirements, or ongoing vendor monitoring process currently in place.</w:t>
      </w:r>
    </w:p>
    <w:p>
      <w:pPr>
        <w:spacing w:after="160"/>
      </w:pPr>
      <w:r>
        <w:rPr>
          <w:rFonts w:ascii="Calibri" w:cs="Calibri" w:eastAsia="Calibri" w:hAnsi="Calibri"/>
          <w:sz w:val="22"/>
          <w:szCs w:val="22"/>
        </w:rPr>
        <w:t xml:space="preserve">This report recommends a phased 6-month remediation program (detailed in the accompanying roadmap) that addresses the Critical and High-risk findings first, positioning Meridian Trust to close the majority of identified gaps ahead of a formal certification audit.</w:t>
      </w:r>
    </w:p>
    <w:p>
      <w:pPr>
        <w:pStyle w:val="Heading1"/>
        <w:spacing w:after="150" w:before="300"/>
      </w:pPr>
      <w:r>
        <w:t xml:space="preserve">2. Scope &amp; Methodology</w:t>
      </w:r>
    </w:p>
    <w:p>
      <w:pPr>
        <w:spacing w:after="160"/>
      </w:pPr>
      <w:r>
        <w:rPr>
          <w:rFonts w:ascii="Calibri" w:cs="Calibri" w:eastAsia="Calibri" w:hAnsi="Calibri"/>
          <w:sz w:val="22"/>
          <w:szCs w:val="22"/>
        </w:rPr>
        <w:t xml:space="preserve">This assessment covered 13 Annex A controls across two domains: Access Control and Supplier Relationships. Full company context and engagement scope are documented in docs/01-company-profile.md. Assessment was performed through document review and structured interviews with the IT Manager, HR Ops lead, and the KYC/AML vendor integration owner.</w:t>
      </w:r>
    </w:p>
    <w:p>
      <w:pPr>
        <w:spacing w:after="160"/>
      </w:pPr>
      <w:r>
        <w:rPr>
          <w:rFonts w:ascii="Calibri" w:cs="Calibri" w:eastAsia="Calibri" w:hAnsi="Calibri"/>
          <w:sz w:val="22"/>
          <w:szCs w:val="22"/>
        </w:rPr>
        <w:t xml:space="preserve">Each control was scored on a 0–5 maturity scale (Not Implemented → Optimized) against a target maturity level, and a Risk Score was calculated as Maturity Gap × Business Impact Weight, translated into a Critical/High/Medium/Low rating. The full scoring model is documented in docs/02-methodology.md.</w:t>
      </w:r>
    </w:p>
    <w:p>
      <w:pPr>
        <w:pStyle w:val="Heading1"/>
        <w:spacing w:after="150" w:before="300"/>
      </w:pPr>
      <w:r>
        <w:t xml:space="preserve">3. Summary of Findings by Domain</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200"/>
        <w:gridCol w:w="1400"/>
        <w:gridCol w:w="1200"/>
        <w:gridCol w:w="2600"/>
      </w:tblGrid>
      <w:t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Domain</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Controls</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Critical</w:t>
            </w:r>
          </w:p>
        </w:tc>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High</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Medium</w:t>
            </w:r>
          </w:p>
        </w:tc>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Low</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Avg. Current Maturity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Control</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2.25</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Supplier Relationships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0</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0</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1.20</w:t>
            </w:r>
          </w:p>
        </w:tc>
      </w:tr>
      <w:tr>
        <w:tc>
          <w:tcPr>
            <w:tcW w:type="dxa" w:w="3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Total</w:t>
            </w:r>
          </w:p>
        </w:tc>
        <w:tc>
          <w:tcPr>
            <w:tcW w:type="dxa" w:w="1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13</w:t>
            </w:r>
          </w:p>
        </w:tc>
        <w:tc>
          <w:tcPr>
            <w:tcW w:type="dxa" w:w="1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1</w:t>
            </w:r>
          </w:p>
        </w:tc>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5</w:t>
            </w:r>
          </w:p>
        </w:tc>
        <w:tc>
          <w:tcPr>
            <w:tcW w:type="dxa" w:w="1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5</w:t>
            </w:r>
          </w:p>
        </w:tc>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1</w:t>
            </w:r>
          </w:p>
        </w:tc>
        <w:tc>
          <w:tcPr>
            <w:tcW w:type="dxa" w:w="2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1.92</w:t>
            </w:r>
          </w:p>
        </w:tc>
      </w:tr>
    </w:tbl>
    <w:p>
      <w:pPr>
        <w:spacing w:after="200" w:before="200"/>
      </w:pPr>
    </w:p>
    <w:p>
      <w:pPr>
        <w:pStyle w:val="Heading1"/>
        <w:spacing w:after="150" w:before="300"/>
      </w:pPr>
      <w:r>
        <w:t xml:space="preserve">4. Detailed Control Findings</w:t>
      </w:r>
    </w:p>
    <w:p>
      <w:pPr>
        <w:spacing w:after="160"/>
      </w:pPr>
      <w:r>
        <w:rPr>
          <w:rFonts w:ascii="Calibri" w:cs="Calibri" w:eastAsia="Calibri" w:hAnsi="Calibri"/>
          <w:sz w:val="22"/>
          <w:szCs w:val="22"/>
        </w:rPr>
        <w:t xml:space="preserve">Controls are listed in descending order of risk rating.</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300"/>
        <w:gridCol w:w="1300"/>
        <w:gridCol w:w="1300"/>
        <w:gridCol w:w="4000"/>
      </w:tblGrid>
      <w:tr>
        <w:tc>
          <w:tcPr>
            <w:tcW w:type="dxa" w:w="11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Name</w:t>
            </w:r>
          </w:p>
        </w:tc>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w:t>
            </w:r>
          </w:p>
        </w:tc>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 Rating</w:t>
            </w:r>
          </w:p>
        </w:tc>
        <w:tc>
          <w:tcPr>
            <w:tcW w:type="dxa" w:w="4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Gap</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A.8.2</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Privileged Access Rights</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1300"/>
            <w:shd w:fill="C000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Critical</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PAM tooling; standing admin access; no session monitoring.</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A.5.19</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 Security in Supplier Relationships</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ED7D3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High</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supplier due diligence process or risk tiering.</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A.5.22</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Monitoring &amp; Review of Supplier Services</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ED7D3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High</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recurring vendor security review; SOC 2 reports not reviewed annually.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A.5.23</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 Security for Use of Cloud Services</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1300"/>
            <w:shd w:fill="ED7D3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High</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Cloud Security Policy; no CSPM tooling; manual config review.</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A.5.17</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Authentication Information</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1300"/>
            <w:shd w:fill="ED7D3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High</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secrets management; shared service-account credentials in a spreadsheet.</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A.8.4</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to Source Code</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1300"/>
            <w:shd w:fill="ED7D3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High</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Former contractors found with active source code repository access.</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A.5.15</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Control</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FFC0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Medium</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approved Access Control Policy; ad hoc provisioning workflow.</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A.5.18</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Rights</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FFC0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Medium</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periodic access recertification process.</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A.8.5</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Secure Authentication</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1300"/>
            <w:shd w:fill="FFC0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Medium</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MFA not enforced on core platform admin console.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A.5.20</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 Security in Supplier Agreements</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FFC0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Medium</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standardized security exhibit in vendor contracts.</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A.5.21</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Managing Info. Security in ICT Supply Chain</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FFC0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Medium</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fourth-party/sub-processor visibility.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A.8.3</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Information Access Restriction</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70AD4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Low</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model not documented in a formal matrix.</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A.5.16</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Identity Management</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300"/>
            <w:shd w:fill="70AD4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Low</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JML procedure not reviewed on a defined cadence.</w:t>
            </w:r>
          </w:p>
        </w:tc>
      </w:tr>
    </w:tbl>
    <w:p>
      <w:r>
        <w:br w:type="page"/>
      </w:r>
    </w:p>
    <w:p>
      <w:pPr>
        <w:pStyle w:val="Heading1"/>
        <w:spacing w:after="150" w:before="300"/>
      </w:pPr>
      <w:r>
        <w:t xml:space="preserve">5. Key Risks &amp; Recommendations</w:t>
      </w:r>
    </w:p>
    <w:p>
      <w:pPr>
        <w:pStyle w:val="Heading2"/>
        <w:spacing w:after="120" w:before="240"/>
      </w:pPr>
      <w:r>
        <w:t xml:space="preserve">5.1 Critical: Privileged Access Rights (A.8.2)</w:t>
      </w:r>
    </w:p>
    <w:p>
      <w:pPr>
        <w:spacing w:after="160"/>
      </w:pPr>
      <w:r>
        <w:rPr>
          <w:rFonts w:ascii="Calibri" w:cs="Calibri" w:eastAsia="Calibri" w:hAnsi="Calibri"/>
          <w:sz w:val="22"/>
          <w:szCs w:val="22"/>
        </w:rPr>
        <w:t xml:space="preserve">Standing administrative access for eight IT staff, with no PAM tooling and no session monitoring, represents the single greatest exposure identified in this assessment. This is also one of the first areas a certification auditor would test. Recommendation: implement a PAM solution enabling just-in-time elevation, reduce the number of standing admin accounts, and enable logging/alerting on privileged sessions.</w:t>
      </w:r>
    </w:p>
    <w:p>
      <w:pPr>
        <w:pStyle w:val="Heading2"/>
        <w:spacing w:after="120" w:before="240"/>
      </w:pPr>
      <w:r>
        <w:t xml:space="preserve">5.2 High: Supplier Due Diligence &amp; Monitoring (A.5.19, A.5.22)</w:t>
      </w:r>
    </w:p>
    <w:p>
      <w:pPr>
        <w:spacing w:after="160"/>
      </w:pPr>
      <w:r>
        <w:rPr>
          <w:rFonts w:ascii="Calibri" w:cs="Calibri" w:eastAsia="Calibri" w:hAnsi="Calibri"/>
          <w:sz w:val="22"/>
          <w:szCs w:val="22"/>
        </w:rPr>
        <w:t xml:space="preserve">Meridian Trust currently has no structured way to assess or monitor the security posture of its vendors, including two vendors (payment processor, KYC/AML screening) that process sensitive customer data. Recommendation: introduce a vendor risk tiering model with a standardized due diligence questionnaire at onboarding, and an annual review cycle for existing vendors.</w:t>
      </w:r>
    </w:p>
    <w:p>
      <w:pPr>
        <w:pStyle w:val="Heading2"/>
        <w:spacing w:after="120" w:before="240"/>
      </w:pPr>
      <w:r>
        <w:t xml:space="preserve">5.3 High: Secrets Management (A.5.17)</w:t>
      </w:r>
    </w:p>
    <w:p>
      <w:pPr>
        <w:spacing w:after="160"/>
      </w:pPr>
      <w:r>
        <w:rPr>
          <w:rFonts w:ascii="Calibri" w:cs="Calibri" w:eastAsia="Calibri" w:hAnsi="Calibri"/>
          <w:sz w:val="22"/>
          <w:szCs w:val="22"/>
        </w:rPr>
        <w:t xml:space="preserve">Shared service-account credentials stored in a spreadsheet is a common and easily exploitable finding. Recommendation: deploy a secrets management solution and rotate all currently exposed credentials as an immediate first step, independent of the broader remediation timeline.</w:t>
      </w:r>
    </w:p>
    <w:p>
      <w:pPr>
        <w:pStyle w:val="Heading2"/>
        <w:spacing w:after="120" w:before="240"/>
      </w:pPr>
      <w:r>
        <w:t xml:space="preserve">5.4 High: Cloud Security Posture (A.5.23)</w:t>
      </w:r>
    </w:p>
    <w:p>
      <w:pPr>
        <w:spacing w:after="160"/>
      </w:pPr>
      <w:r>
        <w:rPr>
          <w:rFonts w:ascii="Calibri" w:cs="Calibri" w:eastAsia="Calibri" w:hAnsi="Calibri"/>
          <w:sz w:val="22"/>
          <w:szCs w:val="22"/>
        </w:rPr>
        <w:t xml:space="preserve">The lack of a Cloud Security Policy and automated configuration monitoring creates ongoing drift risk in the AWS environment that hosts the core lending platform. Recommendation: adopt a CSPM tool and formalize a Cloud Security Policy.</w:t>
      </w:r>
    </w:p>
    <w:p>
      <w:pPr>
        <w:pStyle w:val="Heading1"/>
        <w:spacing w:after="150" w:before="300"/>
      </w:pPr>
      <w:r>
        <w:t xml:space="preserve">6. Roadmap Summary</w:t>
      </w:r>
    </w:p>
    <w:p>
      <w:pPr>
        <w:spacing w:after="160"/>
      </w:pPr>
      <w:r>
        <w:rPr>
          <w:rFonts w:ascii="Calibri" w:cs="Calibri" w:eastAsia="Calibri" w:hAnsi="Calibri"/>
          <w:sz w:val="22"/>
          <w:szCs w:val="22"/>
        </w:rPr>
        <w:t xml:space="preserve">A detailed, phased remediation roadmap is provided in docs/03-remediation-roadmap.md. In summary:</w:t>
      </w:r>
    </w:p>
    <w:p>
      <w:pPr>
        <w:pStyle w:val="ListParagraph"/>
        <w:numPr>
          <w:ilvl w:val="0"/>
          <w:numId w:val="1"/>
        </w:numPr>
        <w:spacing w:after="80"/>
      </w:pPr>
      <w:r>
        <w:rPr>
          <w:rFonts w:ascii="Calibri" w:cs="Calibri" w:eastAsia="Calibri" w:hAnsi="Calibri"/>
          <w:sz w:val="22"/>
          <w:szCs w:val="22"/>
        </w:rPr>
        <w:t xml:space="preserve">Phase 1 (0–60 days): Address the Critical finding and quick-win items — secrets management, source code access review, MFA gap on the admin console.</w:t>
      </w:r>
    </w:p>
    <w:p>
      <w:pPr>
        <w:pStyle w:val="ListParagraph"/>
        <w:numPr>
          <w:ilvl w:val="0"/>
          <w:numId w:val="1"/>
        </w:numPr>
        <w:spacing w:after="80"/>
      </w:pPr>
      <w:r>
        <w:rPr>
          <w:rFonts w:ascii="Calibri" w:cs="Calibri" w:eastAsia="Calibri" w:hAnsi="Calibri"/>
          <w:sz w:val="22"/>
          <w:szCs w:val="22"/>
        </w:rPr>
        <w:t xml:space="preserve">Phase 2 (60–120 days): Formalize policies — Access Control Policy, vendor due diligence process, Information Security Exhibit for contracts.</w:t>
      </w:r>
    </w:p>
    <w:p>
      <w:pPr>
        <w:pStyle w:val="ListParagraph"/>
        <w:numPr>
          <w:ilvl w:val="0"/>
          <w:numId w:val="1"/>
        </w:numPr>
        <w:spacing w:after="80"/>
      </w:pPr>
      <w:r>
        <w:rPr>
          <w:rFonts w:ascii="Calibri" w:cs="Calibri" w:eastAsia="Calibri" w:hAnsi="Calibri"/>
          <w:sz w:val="22"/>
          <w:szCs w:val="22"/>
        </w:rPr>
        <w:t xml:space="preserve">Phase 3 (120–180 days): Operationalize ongoing controls — quarterly access recertification, annual vendor review cycle, CSPM deployment, fourth-party risk visibility.</w:t>
      </w:r>
    </w:p>
    <w:p>
      <w:pPr>
        <w:pStyle w:val="Heading1"/>
        <w:spacing w:after="150" w:before="300"/>
      </w:pPr>
      <w:r>
        <w:t xml:space="preserve">7. Conclusion</w:t>
      </w:r>
    </w:p>
    <w:p>
      <w:pPr>
        <w:spacing w:after="160"/>
      </w:pPr>
      <w:r>
        <w:rPr>
          <w:rFonts w:ascii="Calibri" w:cs="Calibri" w:eastAsia="Calibri" w:hAnsi="Calibri"/>
          <w:sz w:val="22"/>
          <w:szCs w:val="22"/>
        </w:rPr>
        <w:t xml:space="preserve">Meridian Trust Financial Services has functional but largely informal security controls across the assessed domains. No finding in this assessment indicates an active compromise; rather, the gaps reflect the absence of documented, managed processes expected at ISO 27001 certification maturity. Executing the recommended roadmap positions the organization to close these gaps within approximately six months and proceed toward a Stage 1 certification audit with confidence.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Meridian Trust Financial Services — ISO 27001 Gap Analysis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2026-07-04T19:09:28.370Z</dcterms:created>
  <dcterms:modified xsi:type="dcterms:W3CDTF">2026-07-04T19:09:28.371Z</dcterms:modified>
</cp:coreProperties>
</file>

<file path=docProps/custom.xml><?xml version="1.0" encoding="utf-8"?>
<Properties xmlns="http://schemas.openxmlformats.org/officeDocument/2006/custom-properties" xmlns:vt="http://schemas.openxmlformats.org/officeDocument/2006/docPropsVTypes"/>
</file>