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a3155949324e7fc620be0f85ee5b8a816faa75b"/>
      <w:r>
        <w:t xml:space="preserve">Expense &amp; Travel Reimbursement Policy</w:t>
      </w:r>
      <w:bookmarkEnd w:id="9"/>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Company</w:t>
            </w:r>
          </w:p>
        </w:tc>
        <w:tc>
          <w:tcPr/>
          <w:p>
            <w:pPr>
              <w:pStyle w:val="Compact"/>
            </w:pPr>
            <w:r>
              <w:t xml:space="preserve">Indus Freight Lines (Pvt.) Ltd.</w:t>
            </w:r>
          </w:p>
        </w:tc>
      </w:tr>
      <w:tr>
        <w:tc>
          <w:tcPr/>
          <w:p>
            <w:pPr>
              <w:pStyle w:val="Compact"/>
            </w:pPr>
            <w:r>
              <w:t xml:space="preserve">Document ID</w:t>
            </w:r>
          </w:p>
        </w:tc>
        <w:tc>
          <w:tcPr/>
          <w:p>
            <w:pPr>
              <w:pStyle w:val="Compact"/>
            </w:pPr>
            <w:r>
              <w:t xml:space="preserve">IFL-FIN-007</w:t>
            </w:r>
          </w:p>
        </w:tc>
      </w:tr>
      <w:tr>
        <w:tc>
          <w:tcPr/>
          <w:p>
            <w:pPr>
              <w:pStyle w:val="Compact"/>
            </w:pPr>
            <w:r>
              <w:t xml:space="preserve">Version</w:t>
            </w:r>
          </w:p>
        </w:tc>
        <w:tc>
          <w:tcPr/>
          <w:p>
            <w:pPr>
              <w:pStyle w:val="Compact"/>
            </w:pPr>
            <w:r>
              <w:t xml:space="preserve">2.0</w:t>
            </w:r>
          </w:p>
        </w:tc>
      </w:tr>
      <w:tr>
        <w:tc>
          <w:tcPr/>
          <w:p>
            <w:pPr>
              <w:pStyle w:val="Compact"/>
            </w:pPr>
            <w:r>
              <w:t xml:space="preserve">Effective date</w:t>
            </w:r>
          </w:p>
        </w:tc>
        <w:tc>
          <w:tcPr/>
          <w:p>
            <w:pPr>
              <w:pStyle w:val="Compact"/>
            </w:pPr>
            <w:r>
              <w:t xml:space="preserve">1 July 2026</w:t>
            </w:r>
          </w:p>
        </w:tc>
      </w:tr>
      <w:tr>
        <w:tc>
          <w:tcPr/>
          <w:p>
            <w:pPr>
              <w:pStyle w:val="Compact"/>
            </w:pPr>
            <w:r>
              <w:t xml:space="preserve">Supersedes</w:t>
            </w:r>
          </w:p>
        </w:tc>
        <w:tc>
          <w:tcPr/>
          <w:p>
            <w:pPr>
              <w:pStyle w:val="Compact"/>
            </w:pPr>
            <w:r>
              <w:t xml:space="preserve">Version 1.0 (effective 1 July 2024)</w:t>
            </w:r>
          </w:p>
        </w:tc>
      </w:tr>
      <w:tr>
        <w:tc>
          <w:tcPr/>
          <w:p>
            <w:pPr>
              <w:pStyle w:val="Compact"/>
            </w:pPr>
            <w:r>
              <w:t xml:space="preserve">Owner</w:t>
            </w:r>
          </w:p>
        </w:tc>
        <w:tc>
          <w:tcPr/>
          <w:p>
            <w:pPr>
              <w:pStyle w:val="Compact"/>
            </w:pPr>
            <w:r>
              <w:t xml:space="preserve">Finance Manager</w:t>
            </w:r>
          </w:p>
        </w:tc>
      </w:tr>
      <w:tr>
        <w:tc>
          <w:tcPr/>
          <w:p>
            <w:pPr>
              <w:pStyle w:val="Compact"/>
            </w:pPr>
            <w:r>
              <w:t xml:space="preserve">Approved by</w:t>
            </w:r>
          </w:p>
        </w:tc>
        <w:tc>
          <w:tcPr/>
          <w:p>
            <w:pPr>
              <w:pStyle w:val="Compact"/>
            </w:pPr>
            <w:r>
              <w:t xml:space="preserve">CEO</w:t>
            </w:r>
          </w:p>
        </w:tc>
      </w:tr>
      <w:tr>
        <w:tc>
          <w:tcPr/>
          <w:p>
            <w:pPr>
              <w:pStyle w:val="Compact"/>
            </w:pPr>
            <w:r>
              <w:t xml:space="preserve">Next review date</w:t>
            </w:r>
          </w:p>
        </w:tc>
        <w:tc>
          <w:tcPr/>
          <w:p>
            <w:pPr>
              <w:pStyle w:val="Compact"/>
            </w:pPr>
            <w:r>
              <w:t xml:space="preserve">1 July 2027</w:t>
            </w:r>
          </w:p>
        </w:tc>
      </w:tr>
      <w:tr>
        <w:tc>
          <w:tcPr/>
          <w:p>
            <w:pPr>
              <w:pStyle w:val="Compact"/>
            </w:pPr>
            <w:r>
              <w:t xml:space="preserve">Applies to</w:t>
            </w:r>
          </w:p>
        </w:tc>
        <w:tc>
          <w:tcPr/>
          <w:p>
            <w:pPr>
              <w:pStyle w:val="Compact"/>
            </w:pPr>
            <w:r>
              <w:t xml:space="preserve">All employees travelling or incurring expenses on Company business</w:t>
            </w:r>
          </w:p>
        </w:tc>
      </w:tr>
    </w:tbl>
    <w:p>
      <w:r>
        <w:pict>
          <v:rect style="width:0;height:1.5pt" o:hralign="center" o:hrstd="t" o:hr="t"/>
        </w:pict>
      </w:r>
    </w:p>
    <w:p>
      <w:pPr>
        <w:pStyle w:val="Heading2"/>
      </w:pPr>
      <w:bookmarkStart w:id="10" w:name="_introduction"/>
      <w:r>
        <w:t xml:space="preserve">1. Introduction</w:t>
      </w:r>
      <w:bookmarkEnd w:id="10"/>
    </w:p>
    <w:p>
      <w:pPr>
        <w:pStyle w:val="FirstParagraph"/>
      </w:pPr>
      <w:r>
        <w:t xml:space="preserve">1.1</w:t>
      </w:r>
      <w:r>
        <w:t xml:space="preserve"> </w:t>
      </w:r>
      <w:r>
        <w:rPr>
          <w:b/>
          <w:bCs/>
        </w:rPr>
        <w:t xml:space="preserve">Purpose.</w:t>
      </w:r>
      <w:r>
        <w:t xml:space="preserve"> </w:t>
      </w:r>
      <w:r>
        <w:t xml:space="preserve">This policy sets out what business travel and expenses the Company will reimburse, the limits that apply, and how to claim.</w:t>
      </w:r>
    </w:p>
    <w:p>
      <w:pPr>
        <w:pStyle w:val="BodyText"/>
      </w:pPr>
      <w:r>
        <w:t xml:space="preserve">1.2</w:t>
      </w:r>
      <w:r>
        <w:t xml:space="preserve"> </w:t>
      </w:r>
      <w:r>
        <w:rPr>
          <w:b/>
          <w:bCs/>
        </w:rPr>
        <w:t xml:space="preserve">Scope.</w:t>
      </w:r>
      <w:r>
        <w:t xml:space="preserve"> </w:t>
      </w:r>
      <w:r>
        <w:t xml:space="preserve">It applies to all employees, including probationers, travelling within Pakistan on Company business, and to business expenses paid personally by employees. International travel is not covered and requires CEO approval case by case.</w:t>
      </w:r>
    </w:p>
    <w:p>
      <w:pPr>
        <w:pStyle w:val="BodyText"/>
      </w:pPr>
      <w:r>
        <w:t xml:space="preserve">1.3</w:t>
      </w:r>
      <w:r>
        <w:t xml:space="preserve"> </w:t>
      </w:r>
      <w:r>
        <w:rPr>
          <w:b/>
          <w:bCs/>
        </w:rPr>
        <w:t xml:space="preserve">What this policy does not cover</w:t>
      </w:r>
      <w:r>
        <w:t xml:space="preserve"> </w:t>
      </w:r>
      <w:r>
        <w:t xml:space="preserve">- Driver out-of-station daily allowance, night-out allowance and night-route allowance. These are paid through the trip sheet under IFL-HR-001 §10.</w:t>
      </w:r>
      <w:r>
        <w:t xml:space="preserve"> </w:t>
      </w:r>
      <w:r>
        <w:t xml:space="preserve">- Fuel for Company vehicles bought with fuel cards (see IFL-OPS-003 §6).</w:t>
      </w:r>
      <w:r>
        <w:t xml:space="preserve"> </w:t>
      </w:r>
      <w:r>
        <w:t xml:space="preserve">- OPD medical claims, which use Form HR-03 under IFL-HR-001 §10.4.</w:t>
      </w:r>
      <w:r>
        <w:t xml:space="preserve"> </w:t>
      </w:r>
      <w:r>
        <w:t xml:space="preserve">- Traffic fines, which are handled under IFL-OPS-003 §7.</w:t>
      </w:r>
      <w:r>
        <w:t xml:space="preserve"> </w:t>
      </w:r>
      <w:r>
        <w:t xml:space="preserve">- Costs of third-party claims after accidents, which are handled under IFL-SAF-005 §9.</w:t>
      </w:r>
    </w:p>
    <w:p>
      <w:pPr>
        <w:pStyle w:val="BodyText"/>
      </w:pPr>
      <w:r>
        <w:t xml:space="preserve">1.4</w:t>
      </w:r>
      <w:r>
        <w:t xml:space="preserve"> </w:t>
      </w:r>
      <w:r>
        <w:rPr>
          <w:b/>
          <w:bCs/>
        </w:rPr>
        <w:t xml:space="preserve">Related documents</w:t>
      </w:r>
      <w:r>
        <w:t xml:space="preserve"> </w:t>
      </w:r>
      <w:r>
        <w:t xml:space="preserve">- IFL-HR-001 HR &amp; Leave Policy</w:t>
      </w:r>
      <w:r>
        <w:t xml:space="preserve"> </w:t>
      </w:r>
      <w:r>
        <w:t xml:space="preserve">- IFL-HR-002 Code of Conduct (gifts and hospitality)</w:t>
      </w:r>
      <w:r>
        <w:t xml:space="preserve"> </w:t>
      </w:r>
      <w:r>
        <w:t xml:space="preserve">- IFL-OPS-003 Driver Handbook</w:t>
      </w:r>
      <w:r>
        <w:t xml:space="preserve"> </w:t>
      </w:r>
      <w:r>
        <w:t xml:space="preserve">- IFL-SAF-005 Accident &amp; Incident Reporting Procedure</w:t>
      </w:r>
      <w:r>
        <w:t xml:space="preserve"> </w:t>
      </w:r>
      <w:r>
        <w:t xml:space="preserve">- IFL-IT-006 IT &amp; Acceptable Use Policy</w:t>
      </w:r>
    </w:p>
    <w:p>
      <w:pPr>
        <w:pStyle w:val="BodyText"/>
      </w:pPr>
      <w:r>
        <w:t xml:space="preserve">1.5</w:t>
      </w:r>
      <w:r>
        <w:t xml:space="preserve"> </w:t>
      </w:r>
      <w:r>
        <w:rPr>
          <w:b/>
          <w:bCs/>
        </w:rPr>
        <w:t xml:space="preserve">Transition from version 1.0</w:t>
      </w:r>
      <w:r>
        <w:t xml:space="preserve"> </w:t>
      </w:r>
      <w:r>
        <w:t xml:space="preserve">- 1.5.1 Expenses incurred up to and including 30 June 2026 are reimbursed at version 1.0 rates and limits.</w:t>
      </w:r>
      <w:r>
        <w:t xml:space="preserve"> </w:t>
      </w:r>
      <w:r>
        <w:t xml:space="preserve">- 1.5.2 Expenses incurred on or after 1 July 2026 are reimbursed at the rates and limits in this version, including for trips that started before 1 July 2026.</w:t>
      </w:r>
      <w:r>
        <w:t xml:space="preserve"> </w:t>
      </w:r>
      <w:r>
        <w:t xml:space="preserve">- 1.5.3 All claims for expenses incurred before 1 July 2026 must be submitted by 31 July 2026. The 90-day rule in §11.4.2 does not extend this date.</w:t>
      </w:r>
    </w:p>
    <w:p>
      <w:pPr>
        <w:pStyle w:val="Heading2"/>
      </w:pPr>
      <w:bookmarkStart w:id="11" w:name="_definitions"/>
      <w:r>
        <w:t xml:space="preserve">2. Definitions</w:t>
      </w:r>
      <w:bookmarkEnd w:id="11"/>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t xml:space="preserve">Business trip</w:t>
            </w:r>
          </w:p>
        </w:tc>
        <w:tc>
          <w:tcPr/>
          <w:p>
            <w:pPr>
              <w:pStyle w:val="Compact"/>
            </w:pPr>
            <w:r>
              <w:t xml:space="preserve">Travel away from the employee’s normal place of work (Karachi or Lahore) on Company business, of at least 50 km one way.</w:t>
            </w:r>
          </w:p>
        </w:tc>
      </w:tr>
      <w:tr>
        <w:tc>
          <w:tcPr/>
          <w:p>
            <w:pPr>
              <w:pStyle w:val="Compact"/>
            </w:pPr>
            <w:r>
              <w:t xml:space="preserve">Claimant</w:t>
            </w:r>
          </w:p>
        </w:tc>
        <w:tc>
          <w:tcPr/>
          <w:p>
            <w:pPr>
              <w:pStyle w:val="Compact"/>
            </w:pPr>
            <w:r>
              <w:t xml:space="preserve">The employee submitting an expense claim.</w:t>
            </w:r>
          </w:p>
        </w:tc>
      </w:tr>
      <w:tr>
        <w:tc>
          <w:tcPr/>
          <w:p>
            <w:pPr>
              <w:pStyle w:val="Compact"/>
            </w:pPr>
            <w:r>
              <w:t xml:space="preserve">Per diem</w:t>
            </w:r>
          </w:p>
        </w:tc>
        <w:tc>
          <w:tcPr/>
          <w:p>
            <w:pPr>
              <w:pStyle w:val="Compact"/>
            </w:pPr>
            <w:r>
              <w:t xml:space="preserve">A fixed daily amount for meals and small incidental costs, paid without receipts.</w:t>
            </w:r>
          </w:p>
        </w:tc>
      </w:tr>
      <w:tr>
        <w:tc>
          <w:tcPr/>
          <w:p>
            <w:pPr>
              <w:pStyle w:val="Compact"/>
            </w:pPr>
            <w:r>
              <w:t xml:space="preserve">Major cities</w:t>
            </w:r>
          </w:p>
        </w:tc>
        <w:tc>
          <w:tcPr/>
          <w:p>
            <w:pPr>
              <w:pStyle w:val="Compact"/>
            </w:pPr>
            <w:r>
              <w:t xml:space="preserve">Karachi, Lahore and Islamabad/Rawalpindi.</w:t>
            </w:r>
          </w:p>
        </w:tc>
      </w:tr>
      <w:tr>
        <w:tc>
          <w:tcPr/>
          <w:p>
            <w:pPr>
              <w:pStyle w:val="Compact"/>
            </w:pPr>
            <w:r>
              <w:t xml:space="preserve">Other cities</w:t>
            </w:r>
          </w:p>
        </w:tc>
        <w:tc>
          <w:tcPr/>
          <w:p>
            <w:pPr>
              <w:pStyle w:val="Compact"/>
            </w:pPr>
            <w:r>
              <w:t xml:space="preserve">All other cities and towns in Pakistan.</w:t>
            </w:r>
          </w:p>
        </w:tc>
      </w:tr>
      <w:tr>
        <w:tc>
          <w:tcPr/>
          <w:p>
            <w:pPr>
              <w:pStyle w:val="Compact"/>
            </w:pPr>
            <w:r>
              <w:t xml:space="preserve">One-way distance</w:t>
            </w:r>
          </w:p>
        </w:tc>
        <w:tc>
          <w:tcPr/>
          <w:p>
            <w:pPr>
              <w:pStyle w:val="Compact"/>
            </w:pPr>
            <w:r>
              <w:t xml:space="preserve">The road distance between the starting city and the destination city, as recorded in the Transport Management System (TMS).</w:t>
            </w:r>
          </w:p>
        </w:tc>
      </w:tr>
      <w:tr>
        <w:tc>
          <w:tcPr/>
          <w:p>
            <w:pPr>
              <w:pStyle w:val="Compact"/>
            </w:pPr>
            <w:r>
              <w:t xml:space="preserve">Cash advance</w:t>
            </w:r>
          </w:p>
        </w:tc>
        <w:tc>
          <w:tcPr/>
          <w:p>
            <w:pPr>
              <w:pStyle w:val="Compact"/>
            </w:pPr>
            <w:r>
              <w:t xml:space="preserve">Money given to an employee before a trip, to be settled after the trip.</w:t>
            </w:r>
          </w:p>
        </w:tc>
      </w:tr>
      <w:tr>
        <w:tc>
          <w:tcPr/>
          <w:p>
            <w:pPr>
              <w:pStyle w:val="Compact"/>
            </w:pPr>
            <w:r>
              <w:t xml:space="preserve">Receipt</w:t>
            </w:r>
          </w:p>
        </w:tc>
        <w:tc>
          <w:tcPr/>
          <w:p>
            <w:pPr>
              <w:pStyle w:val="Compact"/>
            </w:pPr>
            <w:r>
              <w:t xml:space="preserve">An original or electronic bill showing vendor name, date, items and amount.</w:t>
            </w:r>
          </w:p>
        </w:tc>
      </w:tr>
      <w:tr>
        <w:tc>
          <w:tcPr/>
          <w:p>
            <w:pPr>
              <w:pStyle w:val="Compact"/>
            </w:pPr>
            <w:r>
              <w:t xml:space="preserve">Trip end date</w:t>
            </w:r>
          </w:p>
        </w:tc>
        <w:tc>
          <w:tcPr/>
          <w:p>
            <w:pPr>
              <w:pStyle w:val="Compact"/>
            </w:pPr>
            <w:r>
              <w:t xml:space="preserve">The date the employee returns to their normal place of work.</w:t>
            </w:r>
          </w:p>
        </w:tc>
      </w:tr>
    </w:tbl>
    <w:p>
      <w:pPr>
        <w:pStyle w:val="Heading2"/>
      </w:pPr>
      <w:bookmarkStart w:id="12" w:name="_b05d189943496899598c14e6e266ac3d41c735c"/>
      <w:r>
        <w:t xml:space="preserve">3. General Principles</w:t>
      </w:r>
      <w:bookmarkEnd w:id="12"/>
    </w:p>
    <w:p>
      <w:pPr>
        <w:pStyle w:val="FirstParagraph"/>
      </w:pPr>
      <w:r>
        <w:t xml:space="preserve">3.1 Employees should spend Company money as carefully as they would their own.</w:t>
      </w:r>
    </w:p>
    <w:p>
      <w:pPr>
        <w:pStyle w:val="BodyText"/>
      </w:pPr>
      <w:r>
        <w:t xml:space="preserve">3.2 Only actual, necessary and reasonable business expenses are reimbursed.</w:t>
      </w:r>
    </w:p>
    <w:p>
      <w:pPr>
        <w:pStyle w:val="BodyText"/>
      </w:pPr>
      <w:r>
        <w:t xml:space="preserve">3.3 Employees must not approve their own expenses, or the expenses of a relative (see IFL-HR-002 §5.4).</w:t>
      </w:r>
    </w:p>
    <w:p>
      <w:pPr>
        <w:pStyle w:val="BodyText"/>
      </w:pPr>
      <w:r>
        <w:t xml:space="preserve">3.4 False or inflated claims are gross misconduct under IFL-HR-002 §9.4.</w:t>
      </w:r>
    </w:p>
    <w:p>
      <w:pPr>
        <w:pStyle w:val="BodyText"/>
      </w:pPr>
      <w:r>
        <w:t xml:space="preserve">3.5 Where a cheaper option is reasonably available (for example, a Company vehicle already making the trip), it should be used.</w:t>
      </w:r>
    </w:p>
    <w:p>
      <w:pPr>
        <w:pStyle w:val="Heading2"/>
      </w:pPr>
      <w:bookmarkStart w:id="13" w:name="_2cd7aa495cc79661863488c4a14953eb9cfda15"/>
      <w:r>
        <w:t xml:space="preserve">4. Travel Pre-Approval</w:t>
      </w:r>
      <w:bookmarkEnd w:id="13"/>
    </w:p>
    <w:p>
      <w:pPr>
        <w:pStyle w:val="FirstParagraph"/>
      </w:pPr>
      <w:r>
        <w:t xml:space="preserve">4.1 All business trips that include an overnight stay, or that use air travel, must be approved in advance on Form FIN-02 (Travel Pre-Approval).</w:t>
      </w:r>
    </w:p>
    <w:p>
      <w:pPr>
        <w:pStyle w:val="BodyText"/>
      </w:pPr>
      <w:r>
        <w:t xml:space="preserve">4.2</w:t>
      </w:r>
      <w:r>
        <w:t xml:space="preserve"> </w:t>
      </w:r>
      <w:r>
        <w:rPr>
          <w:b/>
          <w:bCs/>
        </w:rPr>
        <w:t xml:space="preserve">Approvers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Trip type</w:t>
            </w:r>
          </w:p>
        </w:tc>
        <w:tc>
          <w:tcPr/>
          <w:p>
            <w:pPr>
              <w:pStyle w:val="Compact"/>
            </w:pPr>
            <w:r>
              <w:t xml:space="preserve">Approver</w:t>
            </w:r>
          </w:p>
        </w:tc>
      </w:tr>
      <w:tr>
        <w:tc>
          <w:tcPr/>
          <w:p>
            <w:pPr>
              <w:pStyle w:val="Compact"/>
            </w:pPr>
            <w:r>
              <w:t xml:space="preserve">Up to 3 nights</w:t>
            </w:r>
          </w:p>
        </w:tc>
        <w:tc>
          <w:tcPr/>
          <w:p>
            <w:pPr>
              <w:pStyle w:val="Compact"/>
            </w:pPr>
            <w:r>
              <w:t xml:space="preserve">Line manager</w:t>
            </w:r>
          </w:p>
        </w:tc>
      </w:tr>
      <w:tr>
        <w:tc>
          <w:tcPr/>
          <w:p>
            <w:pPr>
              <w:pStyle w:val="Compact"/>
            </w:pPr>
            <w:r>
              <w:t xml:space="preserve">More than 3 nights</w:t>
            </w:r>
          </w:p>
        </w:tc>
        <w:tc>
          <w:tcPr/>
          <w:p>
            <w:pPr>
              <w:pStyle w:val="Compact"/>
            </w:pPr>
            <w:r>
              <w:t xml:space="preserve">Department manager</w:t>
            </w:r>
          </w:p>
        </w:tc>
      </w:tr>
      <w:tr>
        <w:tc>
          <w:tcPr/>
          <w:p>
            <w:pPr>
              <w:pStyle w:val="Compact"/>
            </w:pPr>
            <w:r>
              <w:t xml:space="preserve">Any air travel</w:t>
            </w:r>
          </w:p>
        </w:tc>
        <w:tc>
          <w:tcPr/>
          <w:p>
            <w:pPr>
              <w:pStyle w:val="Compact"/>
            </w:pPr>
            <w:r>
              <w:t xml:space="preserve">Department manager</w:t>
            </w:r>
          </w:p>
        </w:tc>
      </w:tr>
      <w:tr>
        <w:tc>
          <w:tcPr/>
          <w:p>
            <w:pPr>
              <w:pStyle w:val="Compact"/>
            </w:pPr>
            <w:r>
              <w:t xml:space="preserve">Travel by a G4 manager</w:t>
            </w:r>
          </w:p>
        </w:tc>
        <w:tc>
          <w:tcPr/>
          <w:p>
            <w:pPr>
              <w:pStyle w:val="Compact"/>
            </w:pPr>
            <w:r>
              <w:t xml:space="preserve">COO</w:t>
            </w:r>
          </w:p>
        </w:tc>
      </w:tr>
      <w:tr>
        <w:tc>
          <w:tcPr/>
          <w:p>
            <w:pPr>
              <w:pStyle w:val="Compact"/>
            </w:pPr>
            <w:r>
              <w:t xml:space="preserve">Travel by the COO</w:t>
            </w:r>
          </w:p>
        </w:tc>
        <w:tc>
          <w:tcPr/>
          <w:p>
            <w:pPr>
              <w:pStyle w:val="Compact"/>
            </w:pPr>
            <w:r>
              <w:t xml:space="preserve">CEO</w:t>
            </w:r>
          </w:p>
        </w:tc>
      </w:tr>
    </w:tbl>
    <w:p>
      <w:pPr>
        <w:pStyle w:val="FirstParagraph"/>
      </w:pPr>
      <w:r>
        <w:t xml:space="preserve">4.3 FIN-02 must be submitted at least 3 working days before travel. Urgent trips may be approved by phone or email and the FIN-02 completed within 2 working days after the trip starts.</w:t>
      </w:r>
    </w:p>
    <w:p>
      <w:pPr>
        <w:pStyle w:val="BodyText"/>
      </w:pPr>
      <w:r>
        <w:t xml:space="preserve">4.4 Expenses for an overnight trip without an approved FIN-02 will not be reimbursed, unless the department manager confirms in writing that the trip was urgent and necessary.</w:t>
      </w:r>
    </w:p>
    <w:p>
      <w:pPr>
        <w:pStyle w:val="BodyText"/>
      </w:pPr>
      <w:r>
        <w:t xml:space="preserve">4.5 Admin Officers (Karachi and Lahore) book flights, rail tickets and hotels for approved trips where possible. Bookings made by the Admin Officer and paid directly by the Company are not claimed on FIN-01.</w:t>
      </w:r>
    </w:p>
    <w:p>
      <w:pPr>
        <w:pStyle w:val="Heading2"/>
      </w:pPr>
      <w:bookmarkStart w:id="14" w:name="_transport"/>
      <w:r>
        <w:t xml:space="preserve">5. Transport</w:t>
      </w:r>
      <w:bookmarkEnd w:id="14"/>
    </w:p>
    <w:p>
      <w:pPr>
        <w:pStyle w:val="FirstParagraph"/>
      </w:pPr>
      <w:r>
        <w:t xml:space="preserve">5.1</w:t>
      </w:r>
      <w:r>
        <w:t xml:space="preserve"> </w:t>
      </w:r>
      <w:r>
        <w:rPr>
          <w:b/>
          <w:bCs/>
        </w:rPr>
        <w:t xml:space="preserve">Air travel</w:t>
      </w:r>
      <w:r>
        <w:t xml:space="preserve"> </w:t>
      </w:r>
      <w:r>
        <w:t xml:space="preserve">- 5.1.1 Air travel is available to G4 and G5 employees for any business trip.</w:t>
      </w:r>
      <w:r>
        <w:t xml:space="preserve"> </w:t>
      </w:r>
      <w:r>
        <w:t xml:space="preserve">- 5.1.2 G3 employees may travel by air when the one-way distance is more than 700 km. Approximate one-way distances for common routes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Route</w:t>
            </w:r>
          </w:p>
        </w:tc>
        <w:tc>
          <w:tcPr/>
          <w:p>
            <w:pPr>
              <w:pStyle w:val="Compact"/>
            </w:pPr>
            <w:r>
              <w:t xml:space="preserve">Approx. one-way distance (km)</w:t>
            </w:r>
          </w:p>
        </w:tc>
        <w:tc>
          <w:tcPr/>
          <w:p>
            <w:pPr>
              <w:pStyle w:val="Compact"/>
            </w:pPr>
            <w:r>
              <w:t xml:space="preserve">G3 air travel allowed?</w:t>
            </w:r>
          </w:p>
        </w:tc>
      </w:tr>
      <w:tr>
        <w:tc>
          <w:tcPr/>
          <w:p>
            <w:pPr>
              <w:pStyle w:val="Compact"/>
            </w:pPr>
            <w:r>
              <w:t xml:space="preserve">Karachi – Lahore</w:t>
            </w:r>
          </w:p>
        </w:tc>
        <w:tc>
          <w:tcPr/>
          <w:p>
            <w:pPr>
              <w:pStyle w:val="Compact"/>
            </w:pPr>
            <w:r>
              <w:t xml:space="preserve">1,210</w:t>
            </w:r>
          </w:p>
        </w:tc>
        <w:tc>
          <w:tcPr/>
          <w:p>
            <w:pPr>
              <w:pStyle w:val="Compact"/>
            </w:pPr>
            <w:r>
              <w:t xml:space="preserve">Yes</w:t>
            </w:r>
          </w:p>
        </w:tc>
      </w:tr>
      <w:tr>
        <w:tc>
          <w:tcPr/>
          <w:p>
            <w:pPr>
              <w:pStyle w:val="Compact"/>
            </w:pPr>
            <w:r>
              <w:t xml:space="preserve">Karachi – Islamabad/Rawalpindi</w:t>
            </w:r>
          </w:p>
        </w:tc>
        <w:tc>
          <w:tcPr/>
          <w:p>
            <w:pPr>
              <w:pStyle w:val="Compact"/>
            </w:pPr>
            <w:r>
              <w:t xml:space="preserve">1,410</w:t>
            </w:r>
          </w:p>
        </w:tc>
        <w:tc>
          <w:tcPr/>
          <w:p>
            <w:pPr>
              <w:pStyle w:val="Compact"/>
            </w:pPr>
            <w:r>
              <w:t xml:space="preserve">Yes</w:t>
            </w:r>
          </w:p>
        </w:tc>
      </w:tr>
      <w:tr>
        <w:tc>
          <w:tcPr/>
          <w:p>
            <w:pPr>
              <w:pStyle w:val="Compact"/>
            </w:pPr>
            <w:r>
              <w:t xml:space="preserve">Karachi – Multan</w:t>
            </w:r>
          </w:p>
        </w:tc>
        <w:tc>
          <w:tcPr/>
          <w:p>
            <w:pPr>
              <w:pStyle w:val="Compact"/>
            </w:pPr>
            <w:r>
              <w:t xml:space="preserve">900</w:t>
            </w:r>
          </w:p>
        </w:tc>
        <w:tc>
          <w:tcPr/>
          <w:p>
            <w:pPr>
              <w:pStyle w:val="Compact"/>
            </w:pPr>
            <w:r>
              <w:t xml:space="preserve">Yes</w:t>
            </w:r>
          </w:p>
        </w:tc>
      </w:tr>
      <w:tr>
        <w:tc>
          <w:tcPr/>
          <w:p>
            <w:pPr>
              <w:pStyle w:val="Compact"/>
            </w:pPr>
            <w:r>
              <w:t xml:space="preserve">Lahore – Peshawar</w:t>
            </w:r>
          </w:p>
        </w:tc>
        <w:tc>
          <w:tcPr/>
          <w:p>
            <w:pPr>
              <w:pStyle w:val="Compact"/>
            </w:pPr>
            <w:r>
              <w:t xml:space="preserve">500</w:t>
            </w:r>
          </w:p>
        </w:tc>
        <w:tc>
          <w:tcPr/>
          <w:p>
            <w:pPr>
              <w:pStyle w:val="Compact"/>
            </w:pPr>
            <w:r>
              <w:t xml:space="preserve">No</w:t>
            </w:r>
          </w:p>
        </w:tc>
      </w:tr>
      <w:tr>
        <w:tc>
          <w:tcPr/>
          <w:p>
            <w:pPr>
              <w:pStyle w:val="Compact"/>
            </w:pPr>
            <w:r>
              <w:t xml:space="preserve">Lahore – Islamabad/Rawalpindi</w:t>
            </w:r>
          </w:p>
        </w:tc>
        <w:tc>
          <w:tcPr/>
          <w:p>
            <w:pPr>
              <w:pStyle w:val="Compact"/>
            </w:pPr>
            <w:r>
              <w:t xml:space="preserve">375</w:t>
            </w:r>
          </w:p>
        </w:tc>
        <w:tc>
          <w:tcPr/>
          <w:p>
            <w:pPr>
              <w:pStyle w:val="Compact"/>
            </w:pPr>
            <w:r>
              <w:t xml:space="preserve">No</w:t>
            </w:r>
          </w:p>
        </w:tc>
      </w:tr>
      <w:tr>
        <w:tc>
          <w:tcPr/>
          <w:p>
            <w:pPr>
              <w:pStyle w:val="Compact"/>
            </w:pPr>
            <w:r>
              <w:t xml:space="preserve">Lahore – Multan</w:t>
            </w:r>
          </w:p>
        </w:tc>
        <w:tc>
          <w:tcPr/>
          <w:p>
            <w:pPr>
              <w:pStyle w:val="Compact"/>
            </w:pPr>
            <w:r>
              <w:t xml:space="preserve">340</w:t>
            </w:r>
          </w:p>
        </w:tc>
        <w:tc>
          <w:tcPr/>
          <w:p>
            <w:pPr>
              <w:pStyle w:val="Compact"/>
            </w:pPr>
            <w:r>
              <w:t xml:space="preserve">No</w:t>
            </w:r>
          </w:p>
        </w:tc>
      </w:tr>
    </w:tbl>
    <w:p>
      <w:pPr>
        <w:pStyle w:val="Compact"/>
        <w:numPr>
          <w:ilvl w:val="0"/>
          <w:numId w:val="1001"/>
        </w:numPr>
      </w:pPr>
      <w:r>
        <w:t xml:space="preserve">5.1.3 G1–G2 employees travel by road or rail. For G1–G3 trips where air travel is not otherwise allowed, the COO may approve it in an urgent business situation, recorded on the FIN-02.</w:t>
      </w:r>
    </w:p>
    <w:p>
      <w:pPr>
        <w:pStyle w:val="Compact"/>
        <w:numPr>
          <w:ilvl w:val="0"/>
          <w:numId w:val="1001"/>
        </w:numPr>
      </w:pPr>
      <w:r>
        <w:t xml:space="preserve">5.1.4 All domestic flights are economy class. Flights must be booked at least 7 days in advance where the trip is known in advance.</w:t>
      </w:r>
    </w:p>
    <w:p>
      <w:pPr>
        <w:pStyle w:val="FirstParagraph"/>
      </w:pPr>
      <w:r>
        <w:t xml:space="preserve">5.2</w:t>
      </w:r>
      <w:r>
        <w:t xml:space="preserve"> </w:t>
      </w:r>
      <w:r>
        <w:rPr>
          <w:b/>
          <w:bCs/>
        </w:rPr>
        <w:t xml:space="preserve">Road and rail</w:t>
      </w:r>
      <w:r>
        <w:t xml:space="preserve"> </w:t>
      </w:r>
      <w:r>
        <w:t xml:space="preserve">- 5.2.1 Inter-city travel by rail is reimbursed up to AC business class.</w:t>
      </w:r>
      <w:r>
        <w:t xml:space="preserve"> </w:t>
      </w:r>
      <w:r>
        <w:t xml:space="preserve">- 5.2.2 Inter-city travel by bus is reimbursed up to executive coach class.</w:t>
      </w:r>
      <w:r>
        <w:t xml:space="preserve"> </w:t>
      </w:r>
      <w:r>
        <w:t xml:space="preserve">- 5.2.3 Where a Company vehicle is travelling on the same route on the same day, the Dispatch Supervisor may arrange for the employee to travel with it, and no fare is reimbursed.</w:t>
      </w:r>
    </w:p>
    <w:p>
      <w:pPr>
        <w:pStyle w:val="BodyText"/>
      </w:pPr>
      <w:r>
        <w:t xml:space="preserve">5.3</w:t>
      </w:r>
      <w:r>
        <w:t xml:space="preserve"> </w:t>
      </w:r>
      <w:r>
        <w:rPr>
          <w:b/>
          <w:bCs/>
        </w:rPr>
        <w:t xml:space="preserve">Local transport</w:t>
      </w:r>
      <w:r>
        <w:t xml:space="preserve"> </w:t>
      </w:r>
      <w:r>
        <w:t xml:space="preserve">- 5.3.1 Taxis and ride-hailing services within a city are reimbursed for business travel, including travel between the airport, station, hotel and business locations.</w:t>
      </w:r>
      <w:r>
        <w:t xml:space="preserve"> </w:t>
      </w:r>
      <w:r>
        <w:t xml:space="preserve">- 5.3.2 Local transport for commuting between home and the normal place of work is not reimbursed. G1–G2 employees receive the conveyance allowance under IFL-HR-001 §10.</w:t>
      </w:r>
    </w:p>
    <w:p>
      <w:pPr>
        <w:pStyle w:val="BodyText"/>
      </w:pPr>
      <w:r>
        <w:t xml:space="preserve">5.4</w:t>
      </w:r>
      <w:r>
        <w:t xml:space="preserve"> </w:t>
      </w:r>
      <w:r>
        <w:rPr>
          <w:b/>
          <w:bCs/>
        </w:rPr>
        <w:t xml:space="preserve">Personal vehicle</w:t>
      </w:r>
      <w:r>
        <w:t xml:space="preserve"> </w:t>
      </w:r>
      <w:r>
        <w:t xml:space="preserve">- 5.4.1 An employee may use their own car for a business trip only if no Company vehicle is available and the FIN-02 approves it.</w:t>
      </w:r>
      <w:r>
        <w:t xml:space="preserve"> </w:t>
      </w:r>
      <w:r>
        <w:t xml:space="preserve">- 5.4.2 Mileage is reimbursed at PKR 45 per km, based on the shortest practical route. This rate covers fuel, wear and tear, and insurance.</w:t>
      </w:r>
      <w:r>
        <w:t xml:space="preserve"> </w:t>
      </w:r>
      <w:r>
        <w:t xml:space="preserve">- 5.4.3 Motorway tolls and parking for a personal vehicle on a business trip are claimed separately with receipts.</w:t>
      </w:r>
      <w:r>
        <w:t xml:space="preserve"> </w:t>
      </w:r>
      <w:r>
        <w:t xml:space="preserve">- 5.4.4 G4 and G5 employees who receive a monthly fuel entitlement under IFL-HR-001 §10 may claim mileage only for inter-city trips, not for travel within their own city.</w:t>
      </w:r>
    </w:p>
    <w:p>
      <w:pPr>
        <w:pStyle w:val="Heading2"/>
      </w:pPr>
      <w:bookmarkStart w:id="15" w:name="_accommodation"/>
      <w:r>
        <w:t xml:space="preserve">6. Accommodation</w:t>
      </w:r>
      <w:bookmarkEnd w:id="15"/>
    </w:p>
    <w:p>
      <w:pPr>
        <w:pStyle w:val="FirstParagraph"/>
      </w:pPr>
      <w:r>
        <w:t xml:space="preserve">6.1</w:t>
      </w:r>
      <w:r>
        <w:t xml:space="preserve"> </w:t>
      </w:r>
      <w:r>
        <w:rPr>
          <w:b/>
          <w:bCs/>
        </w:rPr>
        <w:t xml:space="preserve">Hotel limits.</w:t>
      </w:r>
      <w:r>
        <w:t xml:space="preserve"> </w:t>
      </w:r>
      <w:r>
        <w:t xml:space="preserve">Hotel costs are reimbursed up to the following nightly limits, including taxes:</w:t>
      </w:r>
    </w:p>
    <w:p>
      <w:pPr>
        <w:pStyle w:val="BodyText"/>
      </w:pPr>
      <w:r>
        <w:rPr>
          <w:b/>
          <w:bCs/>
        </w:rPr>
        <w:t xml:space="preserve">Table 6.1 – Hotel limits per night (PKR)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Grade</w:t>
            </w:r>
          </w:p>
        </w:tc>
        <w:tc>
          <w:tcPr/>
          <w:p>
            <w:pPr>
              <w:pStyle w:val="Compact"/>
            </w:pPr>
            <w:r>
              <w:t xml:space="preserve">Major cities</w:t>
            </w:r>
          </w:p>
        </w:tc>
        <w:tc>
          <w:tcPr/>
          <w:p>
            <w:pPr>
              <w:pStyle w:val="Compact"/>
            </w:pPr>
            <w:r>
              <w:t xml:space="preserve">Other cities</w:t>
            </w:r>
          </w:p>
        </w:tc>
      </w:tr>
      <w:tr>
        <w:tc>
          <w:tcPr/>
          <w:p>
            <w:pPr>
              <w:pStyle w:val="Compact"/>
            </w:pPr>
            <w:r>
              <w:t xml:space="preserve">G1–G3</w:t>
            </w:r>
          </w:p>
        </w:tc>
        <w:tc>
          <w:tcPr/>
          <w:p>
            <w:pPr>
              <w:pStyle w:val="Compact"/>
            </w:pPr>
            <w:r>
              <w:t xml:space="preserve">12,000</w:t>
            </w:r>
          </w:p>
        </w:tc>
        <w:tc>
          <w:tcPr/>
          <w:p>
            <w:pPr>
              <w:pStyle w:val="Compact"/>
            </w:pPr>
            <w:r>
              <w:t xml:space="preserve">6,000</w:t>
            </w:r>
          </w:p>
        </w:tc>
      </w:tr>
      <w:tr>
        <w:tc>
          <w:tcPr/>
          <w:p>
            <w:pPr>
              <w:pStyle w:val="Compact"/>
            </w:pPr>
            <w:r>
              <w:t xml:space="preserve">G4</w:t>
            </w:r>
          </w:p>
        </w:tc>
        <w:tc>
          <w:tcPr/>
          <w:p>
            <w:pPr>
              <w:pStyle w:val="Compact"/>
            </w:pPr>
            <w:r>
              <w:t xml:space="preserve">22,000</w:t>
            </w:r>
          </w:p>
        </w:tc>
        <w:tc>
          <w:tcPr/>
          <w:p>
            <w:pPr>
              <w:pStyle w:val="Compact"/>
            </w:pPr>
            <w:r>
              <w:t xml:space="preserve">10,000</w:t>
            </w:r>
          </w:p>
        </w:tc>
      </w:tr>
      <w:tr>
        <w:tc>
          <w:tcPr/>
          <w:p>
            <w:pPr>
              <w:pStyle w:val="Compact"/>
            </w:pPr>
            <w:r>
              <w:t xml:space="preserve">G5</w:t>
            </w:r>
          </w:p>
        </w:tc>
        <w:tc>
          <w:tcPr/>
          <w:p>
            <w:pPr>
              <w:pStyle w:val="Compact"/>
            </w:pPr>
            <w:r>
              <w:t xml:space="preserve">Actual cost</w:t>
            </w:r>
          </w:p>
        </w:tc>
        <w:tc>
          <w:tcPr/>
          <w:p>
            <w:pPr>
              <w:pStyle w:val="Compact"/>
            </w:pPr>
            <w:r>
              <w:t xml:space="preserve">Actual cost</w:t>
            </w:r>
          </w:p>
        </w:tc>
      </w:tr>
      <w:tr>
        <w:tc>
          <w:tcPr/>
          <w:p>
            <w:pPr>
              <w:pStyle w:val="Compact"/>
            </w:pPr>
            <w:r>
              <w:t xml:space="preserve">Staying with friends or relatives (all grades)</w:t>
            </w:r>
          </w:p>
        </w:tc>
        <w:tc>
          <w:tcPr/>
          <w:p>
            <w:pPr>
              <w:pStyle w:val="Compact"/>
            </w:pPr>
            <w:r>
              <w:t xml:space="preserve">2,000 lodging allowance</w:t>
            </w:r>
          </w:p>
        </w:tc>
        <w:tc>
          <w:tcPr/>
          <w:p>
            <w:pPr>
              <w:pStyle w:val="Compact"/>
            </w:pPr>
            <w:r>
              <w:t xml:space="preserve">2,000 lodging allowance</w:t>
            </w:r>
          </w:p>
        </w:tc>
      </w:tr>
    </w:tbl>
    <w:p>
      <w:pPr>
        <w:pStyle w:val="FirstParagraph"/>
      </w:pPr>
      <w:r>
        <w:t xml:space="preserve">6.2 Costs above the limit are paid by the employee, unless the department manager approves the excess in advance because no hotel within the limit was available (for example, during major events).</w:t>
      </w:r>
    </w:p>
    <w:p>
      <w:pPr>
        <w:pStyle w:val="BodyText"/>
      </w:pPr>
      <w:r>
        <w:t xml:space="preserve">6.3 Hotel receipts must show the employee’s name and dates of stay.</w:t>
      </w:r>
    </w:p>
    <w:p>
      <w:pPr>
        <w:pStyle w:val="BodyText"/>
      </w:pPr>
      <w:r>
        <w:t xml:space="preserve">6.4 Room upgrades, minibar, laundry for trips of fewer than 4 nights, and in-room entertainment are not reimbursed.</w:t>
      </w:r>
    </w:p>
    <w:p>
      <w:pPr>
        <w:pStyle w:val="BodyText"/>
      </w:pPr>
      <w:r>
        <w:t xml:space="preserve">6.5 Two employees of the same gender travelling together at G1–G2 may be asked to share a twin room. In that case the room limit is 1.5 times the single limit for the higher grade.</w:t>
      </w:r>
    </w:p>
    <w:p>
      <w:pPr>
        <w:pStyle w:val="Heading2"/>
      </w:pPr>
      <w:bookmarkStart w:id="16" w:name="_a90a827862572d761ac0cadae6f8c502400d5b5"/>
      <w:r>
        <w:t xml:space="preserve">7. Meals and Per Diem</w:t>
      </w:r>
      <w:bookmarkEnd w:id="16"/>
    </w:p>
    <w:p>
      <w:pPr>
        <w:pStyle w:val="FirstParagraph"/>
      </w:pPr>
      <w:r>
        <w:t xml:space="preserve">7.1</w:t>
      </w:r>
      <w:r>
        <w:t xml:space="preserve"> </w:t>
      </w:r>
      <w:r>
        <w:rPr>
          <w:b/>
          <w:bCs/>
        </w:rPr>
        <w:t xml:space="preserve">Per diem rates.</w:t>
      </w:r>
      <w:r>
        <w:t xml:space="preserve"> </w:t>
      </w:r>
      <w:r>
        <w:t xml:space="preserve">Employees on a business trip receive a daily meal per diem without receipts:</w:t>
      </w:r>
    </w:p>
    <w:p>
      <w:pPr>
        <w:pStyle w:val="BodyText"/>
      </w:pPr>
      <w:r>
        <w:rPr>
          <w:b/>
          <w:bCs/>
        </w:rPr>
        <w:t xml:space="preserve">Table 7.1 – Meal per diem (PKR per day)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Grade</w:t>
            </w:r>
          </w:p>
        </w:tc>
        <w:tc>
          <w:tcPr/>
          <w:p>
            <w:pPr>
              <w:pStyle w:val="Compact"/>
            </w:pPr>
            <w:r>
              <w:t xml:space="preserve">Per diem</w:t>
            </w:r>
          </w:p>
        </w:tc>
      </w:tr>
      <w:tr>
        <w:tc>
          <w:tcPr/>
          <w:p>
            <w:pPr>
              <w:pStyle w:val="Compact"/>
            </w:pPr>
            <w:r>
              <w:t xml:space="preserve">G1–G2</w:t>
            </w:r>
          </w:p>
        </w:tc>
        <w:tc>
          <w:tcPr/>
          <w:p>
            <w:pPr>
              <w:pStyle w:val="Compact"/>
            </w:pPr>
            <w:r>
              <w:t xml:space="preserve">2,000</w:t>
            </w:r>
          </w:p>
        </w:tc>
      </w:tr>
      <w:tr>
        <w:tc>
          <w:tcPr/>
          <w:p>
            <w:pPr>
              <w:pStyle w:val="Compact"/>
            </w:pPr>
            <w:r>
              <w:t xml:space="preserve">G3</w:t>
            </w:r>
          </w:p>
        </w:tc>
        <w:tc>
          <w:tcPr/>
          <w:p>
            <w:pPr>
              <w:pStyle w:val="Compact"/>
            </w:pPr>
            <w:r>
              <w:t xml:space="preserve">2,500</w:t>
            </w:r>
          </w:p>
        </w:tc>
      </w:tr>
      <w:tr>
        <w:tc>
          <w:tcPr/>
          <w:p>
            <w:pPr>
              <w:pStyle w:val="Compact"/>
            </w:pPr>
            <w:r>
              <w:t xml:space="preserve">G4</w:t>
            </w:r>
          </w:p>
        </w:tc>
        <w:tc>
          <w:tcPr/>
          <w:p>
            <w:pPr>
              <w:pStyle w:val="Compact"/>
            </w:pPr>
            <w:r>
              <w:t xml:space="preserve">3,500</w:t>
            </w:r>
          </w:p>
        </w:tc>
      </w:tr>
      <w:tr>
        <w:tc>
          <w:tcPr/>
          <w:p>
            <w:pPr>
              <w:pStyle w:val="Compact"/>
            </w:pPr>
            <w:r>
              <w:t xml:space="preserve">G5</w:t>
            </w:r>
          </w:p>
        </w:tc>
        <w:tc>
          <w:tcPr/>
          <w:p>
            <w:pPr>
              <w:pStyle w:val="Compact"/>
            </w:pPr>
            <w:r>
              <w:t xml:space="preserve">Actual cost, with receipts</w:t>
            </w:r>
          </w:p>
        </w:tc>
      </w:tr>
    </w:tbl>
    <w:p>
      <w:pPr>
        <w:pStyle w:val="FirstParagraph"/>
      </w:pPr>
      <w:r>
        <w:t xml:space="preserve">7.2</w:t>
      </w:r>
      <w:r>
        <w:t xml:space="preserve"> </w:t>
      </w:r>
      <w:r>
        <w:rPr>
          <w:b/>
          <w:bCs/>
        </w:rPr>
        <w:t xml:space="preserve">Partial days</w:t>
      </w:r>
      <w:r>
        <w:t xml:space="preserve"> </w:t>
      </w:r>
      <w:r>
        <w:t xml:space="preserve">- 7.2.1 Trips of 6 to 12 hours without an overnight stay receive 50% of the per diem.</w:t>
      </w:r>
      <w:r>
        <w:t xml:space="preserve"> </w:t>
      </w:r>
      <w:r>
        <w:t xml:space="preserve">- 7.2.2 Trips of more than 12 hours, or with an overnight stay, receive the full per diem for each day.</w:t>
      </w:r>
      <w:r>
        <w:t xml:space="preserve"> </w:t>
      </w:r>
      <w:r>
        <w:t xml:space="preserve">- 7.2.3 Trips of less than 6 hours receive no per diem.</w:t>
      </w:r>
    </w:p>
    <w:p>
      <w:pPr>
        <w:pStyle w:val="BodyText"/>
      </w:pPr>
      <w:r>
        <w:t xml:space="preserve">7.3</w:t>
      </w:r>
      <w:r>
        <w:t xml:space="preserve"> </w:t>
      </w:r>
      <w:r>
        <w:rPr>
          <w:b/>
          <w:bCs/>
        </w:rPr>
        <w:t xml:space="preserve">Meals provided.</w:t>
      </w:r>
      <w:r>
        <w:t xml:space="preserve"> </w:t>
      </w:r>
      <w:r>
        <w:t xml:space="preserve">Where lunch or dinner is provided free by a customer, vendor or the Company, 30% of the per diem is deducted for each meal provided. Hotel breakfast included in the room rate does not reduce the per diem.</w:t>
      </w:r>
    </w:p>
    <w:p>
      <w:pPr>
        <w:pStyle w:val="BodyText"/>
      </w:pPr>
      <w:r>
        <w:t xml:space="preserve">7.4</w:t>
      </w:r>
      <w:r>
        <w:t xml:space="preserve"> </w:t>
      </w:r>
      <w:r>
        <w:rPr>
          <w:b/>
          <w:bCs/>
        </w:rPr>
        <w:t xml:space="preserve">Drivers.</w:t>
      </w:r>
      <w:r>
        <w:t xml:space="preserve"> </w:t>
      </w:r>
      <w:r>
        <w:t xml:space="preserve">Drivers on Company trips receive the out-of-station daily allowance under IFL-HR-001 §10 instead of the meal per diem. Drivers cannot claim both for the same day.</w:t>
      </w:r>
    </w:p>
    <w:p>
      <w:pPr>
        <w:pStyle w:val="Heading2"/>
      </w:pPr>
      <w:bookmarkStart w:id="17" w:name="_8387d808925a54bae0621fa95e1a9408db75759"/>
      <w:r>
        <w:t xml:space="preserve">8. Driver Cash Expenses</w:t>
      </w:r>
      <w:bookmarkEnd w:id="17"/>
    </w:p>
    <w:p>
      <w:pPr>
        <w:pStyle w:val="FirstParagraph"/>
      </w:pPr>
      <w:r>
        <w:t xml:space="preserve">8.1</w:t>
      </w:r>
      <w:r>
        <w:t xml:space="preserve"> </w:t>
      </w:r>
      <w:r>
        <w:rPr>
          <w:b/>
          <w:bCs/>
        </w:rPr>
        <w:t xml:space="preserve">What drivers may claim.</w:t>
      </w:r>
      <w:r>
        <w:t xml:space="preserve"> </w:t>
      </w:r>
      <w:r>
        <w:t xml:space="preserve">Drivers may claim the following trip costs paid in cash:</w:t>
      </w:r>
      <w:r>
        <w:t xml:space="preserve"> </w:t>
      </w:r>
      <w:r>
        <w:t xml:space="preserve">- cash motorway and highway tolls (only where the vehicle’s electronic toll tag could not be used);</w:t>
      </w:r>
      <w:r>
        <w:t xml:space="preserve"> </w:t>
      </w:r>
      <w:r>
        <w:t xml:space="preserve">- official weigh-station and terminal fees;</w:t>
      </w:r>
      <w:r>
        <w:t xml:space="preserve"> </w:t>
      </w:r>
      <w:r>
        <w:t xml:space="preserve">- parking at approved stops or customer sites where a fee is charged;</w:t>
      </w:r>
      <w:r>
        <w:t xml:space="preserve"> </w:t>
      </w:r>
      <w:r>
        <w:t xml:space="preserve">- emergency repairs authorised by the Control Room (ext. 222), with an authorisation code;</w:t>
      </w:r>
      <w:r>
        <w:t xml:space="preserve"> </w:t>
      </w:r>
      <w:r>
        <w:t xml:space="preserve">- emergency fuel bought with cash when the fuel card fails, up to PKR 15,000 with a Control Room authorisation code (see IFL-OPS-003 §6.6).</w:t>
      </w:r>
    </w:p>
    <w:p>
      <w:pPr>
        <w:pStyle w:val="BodyText"/>
      </w:pPr>
      <w:r>
        <w:t xml:space="preserve">8.2</w:t>
      </w:r>
      <w:r>
        <w:t xml:space="preserve"> </w:t>
      </w:r>
      <w:r>
        <w:rPr>
          <w:b/>
          <w:bCs/>
        </w:rPr>
        <w:t xml:space="preserve">Receipts.</w:t>
      </w:r>
      <w:r>
        <w:t xml:space="preserve"> </w:t>
      </w:r>
      <w:r>
        <w:t xml:space="preserve">Every toll, fee and repair claim must have a receipt, whatever the amount. The general receipt threshold in §11.3 does not apply to driver cash expenses.</w:t>
      </w:r>
    </w:p>
    <w:p>
      <w:pPr>
        <w:pStyle w:val="BodyText"/>
      </w:pPr>
      <w:r>
        <w:t xml:space="preserve">8.3</w:t>
      </w:r>
      <w:r>
        <w:t xml:space="preserve"> </w:t>
      </w:r>
      <w:r>
        <w:rPr>
          <w:b/>
          <w:bCs/>
        </w:rPr>
        <w:t xml:space="preserve">What drivers may not claim</w:t>
      </w:r>
      <w:r>
        <w:t xml:space="preserve"> </w:t>
      </w:r>
      <w:r>
        <w:t xml:space="preserve">- Food and personal costs (covered by allowances under IFL-HR-001 §10).</w:t>
      </w:r>
      <w:r>
        <w:t xml:space="preserve"> </w:t>
      </w:r>
      <w:r>
        <w:t xml:space="preserve">- Traffic fines (handled under IFL-OPS-003 §7).</w:t>
      </w:r>
      <w:r>
        <w:t xml:space="preserve"> </w:t>
      </w:r>
      <w:r>
        <w:t xml:space="preserve">- Any unofficial payment, including one made under the personal-safety exception (see IFL-HR-002 §6.5).</w:t>
      </w:r>
      <w:r>
        <w:t xml:space="preserve"> </w:t>
      </w:r>
      <w:r>
        <w:t xml:space="preserve">- Tolls that would have been charged to the electronic toll tag.</w:t>
      </w:r>
    </w:p>
    <w:p>
      <w:pPr>
        <w:pStyle w:val="BodyText"/>
      </w:pPr>
      <w:r>
        <w:t xml:space="preserve">8.4</w:t>
      </w:r>
      <w:r>
        <w:t xml:space="preserve"> </w:t>
      </w:r>
      <w:r>
        <w:rPr>
          <w:b/>
          <w:bCs/>
        </w:rPr>
        <w:t xml:space="preserve">Approval.</w:t>
      </w:r>
      <w:r>
        <w:t xml:space="preserve"> </w:t>
      </w:r>
      <w:r>
        <w:t xml:space="preserve">Driver cash claims are checked against the trip sheet by the Fleet Supervisor, who approves claims up to PKR 25,000. Claims above PKR 25,000 are approved by the Fleet Manager.</w:t>
      </w:r>
    </w:p>
    <w:p>
      <w:pPr>
        <w:pStyle w:val="BodyText"/>
      </w:pPr>
      <w:r>
        <w:t xml:space="preserve">8.5</w:t>
      </w:r>
      <w:r>
        <w:t xml:space="preserve"> </w:t>
      </w:r>
      <w:r>
        <w:rPr>
          <w:b/>
          <w:bCs/>
        </w:rPr>
        <w:t xml:space="preserve">Deadline.</w:t>
      </w:r>
      <w:r>
        <w:t xml:space="preserve"> </w:t>
      </w:r>
      <w:r>
        <w:t xml:space="preserve">Driver cash claims follow the same submission deadline as all other claims (§11.2).</w:t>
      </w:r>
    </w:p>
    <w:p>
      <w:pPr>
        <w:pStyle w:val="Heading2"/>
      </w:pPr>
      <w:bookmarkStart w:id="18" w:name="_bcae220707c41807179bb5d7376078e59ffb81a"/>
      <w:r>
        <w:t xml:space="preserve">9. Cash Advances</w:t>
      </w:r>
      <w:bookmarkEnd w:id="18"/>
    </w:p>
    <w:p>
      <w:pPr>
        <w:pStyle w:val="FirstParagraph"/>
      </w:pPr>
      <w:r>
        <w:t xml:space="preserve">9.1 Employees may request a cash advance for an approved trip on Form FIN-03 (Cash Advance Request), attached to the approved FIN-02.</w:t>
      </w:r>
    </w:p>
    <w:p>
      <w:pPr>
        <w:pStyle w:val="BodyText"/>
      </w:pPr>
      <w:r>
        <w:t xml:space="preserve">9.2 The advance may be up to 80% of the estimated trip cost (transport, hotel and per diem), and no more than:</w:t>
      </w:r>
      <w:r>
        <w:t xml:space="preserve"> </w:t>
      </w:r>
      <w:r>
        <w:t xml:space="preserve">- PKR 50,000 for G1–G2;</w:t>
      </w:r>
      <w:r>
        <w:t xml:space="preserve"> </w:t>
      </w:r>
      <w:r>
        <w:t xml:space="preserve">- PKR 100,000 for G3;</w:t>
      </w:r>
      <w:r>
        <w:t xml:space="preserve"> </w:t>
      </w:r>
      <w:r>
        <w:t xml:space="preserve">- PKR 200,000 for G4–G5.</w:t>
      </w:r>
    </w:p>
    <w:p>
      <w:pPr>
        <w:pStyle w:val="BodyText"/>
      </w:pPr>
      <w:r>
        <w:t xml:space="preserve">9.3 Advances must be settled by submitting Form FIN-01 within 10 working days of the trip end date. Any unspent amount is returned to Finance at the same time.</w:t>
      </w:r>
    </w:p>
    <w:p>
      <w:pPr>
        <w:pStyle w:val="BodyText"/>
      </w:pPr>
      <w:r>
        <w:t xml:space="preserve">9.4 An employee with an unsettled advance cannot receive a new advance.</w:t>
      </w:r>
    </w:p>
    <w:p>
      <w:pPr>
        <w:pStyle w:val="BodyText"/>
      </w:pPr>
      <w:r>
        <w:t xml:space="preserve">9.5 Advances not settled within 30 days of the trip end date are recovered from the next salary, subject to the monthly limit in IFL-HR-002 §9.2.2.</w:t>
      </w:r>
    </w:p>
    <w:p>
      <w:pPr>
        <w:pStyle w:val="BodyText"/>
      </w:pPr>
      <w:r>
        <w:t xml:space="preserve">9.6 Drivers on long-haul trips may receive a standing float of PKR 10,000 for tolls and fees, held by the Control Room and settled after each trip.</w:t>
      </w:r>
    </w:p>
    <w:p>
      <w:pPr>
        <w:pStyle w:val="Heading2"/>
      </w:pPr>
      <w:bookmarkStart w:id="19" w:name="_0f04146b39073dcd8d540abc512330e0beaca37"/>
      <w:r>
        <w:t xml:space="preserve">10. Other Business Expenses</w:t>
      </w:r>
      <w:bookmarkEnd w:id="19"/>
    </w:p>
    <w:p>
      <w:pPr>
        <w:pStyle w:val="FirstParagraph"/>
      </w:pPr>
      <w:r>
        <w:t xml:space="preserve">10.1</w:t>
      </w:r>
      <w:r>
        <w:t xml:space="preserve"> </w:t>
      </w:r>
      <w:r>
        <w:rPr>
          <w:b/>
          <w:bCs/>
        </w:rPr>
        <w:t xml:space="preserve">Business entertainment.</w:t>
      </w:r>
      <w:r>
        <w:t xml:space="preserve"> </w:t>
      </w:r>
      <w:r>
        <w:t xml:space="preserve">Meals or hospitality for customers and vendors must have a clear business purpose and follow the hospitality limits in IFL-HR-002 §6.2. The claim must show the names and organisations of guests.</w:t>
      </w:r>
    </w:p>
    <w:p>
      <w:pPr>
        <w:pStyle w:val="BodyText"/>
      </w:pPr>
      <w:r>
        <w:t xml:space="preserve">10.2</w:t>
      </w:r>
      <w:r>
        <w:t xml:space="preserve"> </w:t>
      </w:r>
      <w:r>
        <w:rPr>
          <w:b/>
          <w:bCs/>
        </w:rPr>
        <w:t xml:space="preserve">Small purchases.</w:t>
      </w:r>
      <w:r>
        <w:t xml:space="preserve"> </w:t>
      </w:r>
      <w:r>
        <w:t xml:space="preserve">Urgent office or operational items up to PKR 5,000 may be bought and claimed with a receipt. Above PKR 5,000, purchases go through the Procurement Officer.</w:t>
      </w:r>
    </w:p>
    <w:p>
      <w:pPr>
        <w:pStyle w:val="BodyText"/>
      </w:pPr>
      <w:r>
        <w:t xml:space="preserve">10.3</w:t>
      </w:r>
      <w:r>
        <w:t xml:space="preserve"> </w:t>
      </w:r>
      <w:r>
        <w:rPr>
          <w:b/>
          <w:bCs/>
        </w:rPr>
        <w:t xml:space="preserve">Communication.</w:t>
      </w:r>
      <w:r>
        <w:t xml:space="preserve"> </w:t>
      </w:r>
      <w:r>
        <w:t xml:space="preserve">Mobile phone and internet costs are covered by the mobile allowance under IFL-HR-001 §10 or by Company phones. They are not claimable on FIN-01, except roaming charges on an approved trip outside the employee’s mobile network area.</w:t>
      </w:r>
    </w:p>
    <w:p>
      <w:pPr>
        <w:pStyle w:val="BodyText"/>
      </w:pPr>
      <w:r>
        <w:t xml:space="preserve">10.4</w:t>
      </w:r>
      <w:r>
        <w:t xml:space="preserve"> </w:t>
      </w:r>
      <w:r>
        <w:rPr>
          <w:b/>
          <w:bCs/>
        </w:rPr>
        <w:t xml:space="preserve">Training and conferences.</w:t>
      </w:r>
      <w:r>
        <w:t xml:space="preserve"> </w:t>
      </w:r>
      <w:r>
        <w:t xml:space="preserve">Course and conference fees are reimbursed only when approved in advance by the department manager and the HR Manager.</w:t>
      </w:r>
    </w:p>
    <w:p>
      <w:pPr>
        <w:pStyle w:val="BodyText"/>
      </w:pPr>
      <w:r>
        <w:t xml:space="preserve">10.5</w:t>
      </w:r>
      <w:r>
        <w:t xml:space="preserve"> </w:t>
      </w:r>
      <w:r>
        <w:rPr>
          <w:b/>
          <w:bCs/>
        </w:rPr>
        <w:t xml:space="preserve">Lost Company devices while travelling.</w:t>
      </w:r>
      <w:r>
        <w:t xml:space="preserve"> </w:t>
      </w:r>
      <w:r>
        <w:t xml:space="preserve">Loss of a Company laptop or phone during a trip is not an expense claim. It is reported and handled under IFL-IT-006 §5.4.</w:t>
      </w:r>
    </w:p>
    <w:p>
      <w:pPr>
        <w:pStyle w:val="Heading2"/>
      </w:pPr>
      <w:bookmarkStart w:id="20" w:name="_e591026d693f1954b2cc627229f57b5d96734d2"/>
      <w:r>
        <w:t xml:space="preserve">11. Submitting Claims</w:t>
      </w:r>
      <w:bookmarkEnd w:id="20"/>
    </w:p>
    <w:p>
      <w:pPr>
        <w:pStyle w:val="FirstParagraph"/>
      </w:pPr>
      <w:r>
        <w:t xml:space="preserve">11.1</w:t>
      </w:r>
      <w:r>
        <w:t xml:space="preserve"> </w:t>
      </w:r>
      <w:r>
        <w:rPr>
          <w:b/>
          <w:bCs/>
        </w:rPr>
        <w:t xml:space="preserve">Form.</w:t>
      </w:r>
      <w:r>
        <w:t xml:space="preserve"> </w:t>
      </w:r>
      <w:r>
        <w:t xml:space="preserve">All claims are made on Form FIN-01 (Expense Claim), with receipts attached, and sent to expenses@indusfreight.example or the Finance department (ext. 122).</w:t>
      </w:r>
    </w:p>
    <w:p>
      <w:pPr>
        <w:pStyle w:val="BodyText"/>
      </w:pPr>
      <w:r>
        <w:t xml:space="preserve">11.2</w:t>
      </w:r>
      <w:r>
        <w:t xml:space="preserve"> </w:t>
      </w:r>
      <w:r>
        <w:rPr>
          <w:b/>
          <w:bCs/>
        </w:rPr>
        <w:t xml:space="preserve">Deadline.</w:t>
      </w:r>
      <w:r>
        <w:t xml:space="preserve"> </w:t>
      </w:r>
      <w:r>
        <w:t xml:space="preserve">Claims must be submitted within 15 calendar days of the trip end date, or of the date of the expense for non-travel claims.</w:t>
      </w:r>
    </w:p>
    <w:p>
      <w:pPr>
        <w:pStyle w:val="BodyText"/>
      </w:pPr>
      <w:r>
        <w:t xml:space="preserve">11.3</w:t>
      </w:r>
      <w:r>
        <w:t xml:space="preserve"> </w:t>
      </w:r>
      <w:r>
        <w:rPr>
          <w:b/>
          <w:bCs/>
        </w:rPr>
        <w:t xml:space="preserve">Receipts.</w:t>
      </w:r>
      <w:r>
        <w:t xml:space="preserve"> </w:t>
      </w:r>
      <w:r>
        <w:t xml:space="preserve">An original receipt is required for every expense above PKR 1,000. Per diems do not need receipts.</w:t>
      </w:r>
    </w:p>
    <w:p>
      <w:pPr>
        <w:pStyle w:val="BodyText"/>
      </w:pPr>
      <w:r>
        <w:t xml:space="preserve">11.4</w:t>
      </w:r>
      <w:r>
        <w:t xml:space="preserve"> </w:t>
      </w:r>
      <w:r>
        <w:rPr>
          <w:b/>
          <w:bCs/>
        </w:rPr>
        <w:t xml:space="preserve">Late claims</w:t>
      </w:r>
      <w:r>
        <w:t xml:space="preserve"> </w:t>
      </w:r>
      <w:r>
        <w:t xml:space="preserve">- 11.4.1 Claims submitted after the deadline in §11.2 are rejected, unless the department manager approves the delay for exceptional reasons (such as illness or extended field duty).</w:t>
      </w:r>
      <w:r>
        <w:t xml:space="preserve"> </w:t>
      </w:r>
      <w:r>
        <w:t xml:space="preserve">- 11.4.2 No claim is paid if submitted more than 90 days after the expense, under any circumstances.</w:t>
      </w:r>
    </w:p>
    <w:p>
      <w:pPr>
        <w:pStyle w:val="BodyText"/>
      </w:pPr>
      <w:r>
        <w:t xml:space="preserve">11.5</w:t>
      </w:r>
      <w:r>
        <w:t xml:space="preserve"> </w:t>
      </w:r>
      <w:r>
        <w:rPr>
          <w:b/>
          <w:bCs/>
        </w:rPr>
        <w:t xml:space="preserve">Lost receipts.</w:t>
      </w:r>
      <w:r>
        <w:t xml:space="preserve"> </w:t>
      </w:r>
      <w:r>
        <w:t xml:space="preserve">If a receipt is lost, the claimant may complete the lost-receipt declaration section of FIN-01. This is allowed for items up to PKR 5,000 each, and no more than twice per financial year (July–June).</w:t>
      </w:r>
    </w:p>
    <w:p>
      <w:pPr>
        <w:pStyle w:val="BodyText"/>
      </w:pPr>
      <w:r>
        <w:t xml:space="preserve">11.6</w:t>
      </w:r>
      <w:r>
        <w:t xml:space="preserve"> </w:t>
      </w:r>
      <w:r>
        <w:rPr>
          <w:b/>
          <w:bCs/>
        </w:rPr>
        <w:t xml:space="preserve">Claims spanning two months.</w:t>
      </w:r>
      <w:r>
        <w:t xml:space="preserve"> </w:t>
      </w:r>
      <w:r>
        <w:t xml:space="preserve">Trips crossing a month end are claimed on one FIN-01 after the trip ends.</w:t>
      </w:r>
    </w:p>
    <w:p>
      <w:pPr>
        <w:pStyle w:val="Heading2"/>
      </w:pPr>
      <w:bookmarkStart w:id="21" w:name="_6072f2ef2f2f1f294b21074c9554f2c98707c14"/>
      <w:r>
        <w:t xml:space="preserve">12. Approval and Payment</w:t>
      </w:r>
      <w:bookmarkEnd w:id="21"/>
    </w:p>
    <w:p>
      <w:pPr>
        <w:pStyle w:val="FirstParagraph"/>
      </w:pPr>
      <w:r>
        <w:t xml:space="preserve">12.1</w:t>
      </w:r>
      <w:r>
        <w:t xml:space="preserve"> </w:t>
      </w:r>
      <w:r>
        <w:rPr>
          <w:b/>
          <w:bCs/>
        </w:rPr>
        <w:t xml:space="preserve">Approval chain</w:t>
      </w:r>
    </w:p>
    <w:p>
      <w:pPr>
        <w:pStyle w:val="BodyText"/>
      </w:pPr>
      <w:r>
        <w:rPr>
          <w:b/>
          <w:bCs/>
        </w:rPr>
        <w:t xml:space="preserve">Table 12.1 – Claim approval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Claim amount (PKR)</w:t>
            </w:r>
          </w:p>
        </w:tc>
        <w:tc>
          <w:tcPr/>
          <w:p>
            <w:pPr>
              <w:pStyle w:val="Compact"/>
            </w:pPr>
            <w:r>
              <w:t xml:space="preserve">Approval required</w:t>
            </w:r>
          </w:p>
        </w:tc>
      </w:tr>
      <w:tr>
        <w:tc>
          <w:tcPr/>
          <w:p>
            <w:pPr>
              <w:pStyle w:val="Compact"/>
            </w:pPr>
            <w:r>
              <w:t xml:space="preserve">Up to 25,000</w:t>
            </w:r>
          </w:p>
        </w:tc>
        <w:tc>
          <w:tcPr/>
          <w:p>
            <w:pPr>
              <w:pStyle w:val="Compact"/>
            </w:pPr>
            <w:r>
              <w:t xml:space="preserve">Line manager (G3 or above)</w:t>
            </w:r>
          </w:p>
        </w:tc>
      </w:tr>
      <w:tr>
        <w:tc>
          <w:tcPr/>
          <w:p>
            <w:pPr>
              <w:pStyle w:val="Compact"/>
            </w:pPr>
            <w:r>
              <w:t xml:space="preserve">25,001 – 50,000</w:t>
            </w:r>
          </w:p>
        </w:tc>
        <w:tc>
          <w:tcPr/>
          <w:p>
            <w:pPr>
              <w:pStyle w:val="Compact"/>
            </w:pPr>
            <w:r>
              <w:t xml:space="preserve">Department manager</w:t>
            </w:r>
          </w:p>
        </w:tc>
      </w:tr>
      <w:tr>
        <w:tc>
          <w:tcPr/>
          <w:p>
            <w:pPr>
              <w:pStyle w:val="Compact"/>
            </w:pPr>
            <w:r>
              <w:t xml:space="preserve">Above 50,000</w:t>
            </w:r>
          </w:p>
        </w:tc>
        <w:tc>
          <w:tcPr/>
          <w:p>
            <w:pPr>
              <w:pStyle w:val="Compact"/>
            </w:pPr>
            <w:r>
              <w:t xml:space="preserve">Department manager, then Finance Manager, then COO</w:t>
            </w:r>
          </w:p>
        </w:tc>
      </w:tr>
    </w:tbl>
    <w:p>
      <w:pPr>
        <w:pStyle w:val="FirstParagraph"/>
      </w:pPr>
      <w:r>
        <w:t xml:space="preserve">12.2</w:t>
      </w:r>
      <w:r>
        <w:t xml:space="preserve"> </w:t>
      </w:r>
      <w:r>
        <w:rPr>
          <w:b/>
          <w:bCs/>
        </w:rPr>
        <w:t xml:space="preserve">Special cases</w:t>
      </w:r>
      <w:r>
        <w:t xml:space="preserve"> </w:t>
      </w:r>
      <w:r>
        <w:t xml:space="preserve">- 12.2.1 Claims by G4 managers are approved by the COO.</w:t>
      </w:r>
      <w:r>
        <w:t xml:space="preserve"> </w:t>
      </w:r>
      <w:r>
        <w:t xml:space="preserve">- 12.2.2 Claims by the COO are approved by the CEO.</w:t>
      </w:r>
      <w:r>
        <w:t xml:space="preserve"> </w:t>
      </w:r>
      <w:r>
        <w:t xml:space="preserve">- 12.2.3 Claims by the CEO are reviewed by the Finance Manager and approved by the COO.</w:t>
      </w:r>
      <w:r>
        <w:t xml:space="preserve"> </w:t>
      </w:r>
      <w:r>
        <w:t xml:space="preserve">- 12.2.4 Driver cash claims follow §8.4.</w:t>
      </w:r>
    </w:p>
    <w:p>
      <w:pPr>
        <w:pStyle w:val="BodyText"/>
      </w:pPr>
      <w:r>
        <w:t xml:space="preserve">12.3</w:t>
      </w:r>
      <w:r>
        <w:t xml:space="preserve"> </w:t>
      </w:r>
      <w:r>
        <w:rPr>
          <w:b/>
          <w:bCs/>
        </w:rPr>
        <w:t xml:space="preserve">Finance check.</w:t>
      </w:r>
      <w:r>
        <w:t xml:space="preserve"> </w:t>
      </w:r>
      <w:r>
        <w:t xml:space="preserve">Finance checks every claim for policy compliance, receipts and arithmetic within 5 working days of receiving the approved claim. Claims with missing information are returned to the claimant, and the time limit in §11.2 continues to run.</w:t>
      </w:r>
    </w:p>
    <w:p>
      <w:pPr>
        <w:pStyle w:val="BodyText"/>
      </w:pPr>
      <w:r>
        <w:t xml:space="preserve">12.4</w:t>
      </w:r>
      <w:r>
        <w:t xml:space="preserve"> </w:t>
      </w:r>
      <w:r>
        <w:rPr>
          <w:b/>
          <w:bCs/>
        </w:rPr>
        <w:t xml:space="preserve">Payment.</w:t>
      </w:r>
      <w:r>
        <w:t xml:space="preserve"> </w:t>
      </w:r>
      <w:r>
        <w:t xml:space="preserve">Approved claims received by Finance by the 20th of the month are paid with that month’s salary. Claims received after the 20th are paid with the following month’s salary.</w:t>
      </w:r>
    </w:p>
    <w:p>
      <w:pPr>
        <w:pStyle w:val="Heading2"/>
      </w:pPr>
      <w:bookmarkStart w:id="22" w:name="_d9a8abeea641700fe93a394f80563b7bc76ca64"/>
      <w:r>
        <w:t xml:space="preserve">13. Non-Reimbursable Expenses</w:t>
      </w:r>
      <w:bookmarkEnd w:id="22"/>
    </w:p>
    <w:p>
      <w:pPr>
        <w:pStyle w:val="FirstParagraph"/>
      </w:pPr>
      <w:r>
        <w:t xml:space="preserve">The following are not reimbursed:</w:t>
      </w:r>
      <w:r>
        <w:t xml:space="preserve"> </w:t>
      </w:r>
      <w:r>
        <w:t xml:space="preserve">- alcohol;</w:t>
      </w:r>
      <w:r>
        <w:t xml:space="preserve"> </w:t>
      </w:r>
      <w:r>
        <w:t xml:space="preserve">- personal entertainment, films, gym or spa;</w:t>
      </w:r>
      <w:r>
        <w:t xml:space="preserve"> </w:t>
      </w:r>
      <w:r>
        <w:t xml:space="preserve">- traffic fines and parking fines (see IFL-OPS-003 §7);</w:t>
      </w:r>
      <w:r>
        <w:t xml:space="preserve"> </w:t>
      </w:r>
      <w:r>
        <w:t xml:space="preserve">- loss or theft of personal belongings;</w:t>
      </w:r>
      <w:r>
        <w:t xml:space="preserve"> </w:t>
      </w:r>
      <w:r>
        <w:t xml:space="preserve">- travel insurance for domestic trips;</w:t>
      </w:r>
      <w:r>
        <w:t xml:space="preserve"> </w:t>
      </w:r>
      <w:r>
        <w:t xml:space="preserve">- costs for family members or friends travelling with the employee;</w:t>
      </w:r>
      <w:r>
        <w:t xml:space="preserve"> </w:t>
      </w:r>
      <w:r>
        <w:t xml:space="preserve">- extra costs from choosing a longer route or a personal side-trip;</w:t>
      </w:r>
      <w:r>
        <w:t xml:space="preserve"> </w:t>
      </w:r>
      <w:r>
        <w:t xml:space="preserve">- tips above 10% of the bill.</w:t>
      </w:r>
    </w:p>
    <w:p>
      <w:pPr>
        <w:pStyle w:val="Heading2"/>
      </w:pPr>
      <w:bookmarkStart w:id="23" w:name="_0aa233d250d294a2e47ddd3c9654fc51f5f9df9"/>
      <w:r>
        <w:t xml:space="preserve">14. Exceptions and Misuse</w:t>
      </w:r>
      <w:bookmarkEnd w:id="23"/>
    </w:p>
    <w:p>
      <w:pPr>
        <w:pStyle w:val="FirstParagraph"/>
      </w:pPr>
      <w:r>
        <w:t xml:space="preserve">14.1 Any exception to this policy must be approved in writing by the Finance Manager, and by the COO for amounts above PKR 100,000.</w:t>
      </w:r>
    </w:p>
    <w:p>
      <w:pPr>
        <w:pStyle w:val="BodyText"/>
      </w:pPr>
      <w:r>
        <w:t xml:space="preserve">14.2 Finance carries out random audits of at least 10% of claims each quarter. Employees must provide supporting information within 5 working days when asked.</w:t>
      </w:r>
    </w:p>
    <w:p>
      <w:pPr>
        <w:pStyle w:val="BodyText"/>
      </w:pPr>
      <w:r>
        <w:t xml:space="preserve">14.3 Overpayments are recovered from salary. Misuse is handled under IFL-HR-002 §9.</w:t>
      </w:r>
    </w:p>
    <w:p>
      <w:pPr>
        <w:pStyle w:val="Heading2"/>
      </w:pPr>
      <w:bookmarkStart w:id="24" w:name="_790f9289032449bb6ef526872949ccd2adf6a9b"/>
      <w:r>
        <w:t xml:space="preserve">15. Revision History</w:t>
      </w:r>
      <w:bookmarkEnd w:id="24"/>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Effective date</w:t>
            </w:r>
          </w:p>
        </w:tc>
        <w:tc>
          <w:tcPr/>
          <w:p>
            <w:pPr>
              <w:pStyle w:val="Compact"/>
            </w:pPr>
            <w:r>
              <w:t xml:space="preserve">Summary of changes</w:t>
            </w:r>
          </w:p>
        </w:tc>
      </w:tr>
      <w:tr>
        <w:tc>
          <w:tcPr/>
          <w:p>
            <w:pPr>
              <w:pStyle w:val="Compact"/>
            </w:pPr>
            <w:r>
              <w:t xml:space="preserve">1.0</w:t>
            </w:r>
          </w:p>
        </w:tc>
        <w:tc>
          <w:tcPr/>
          <w:p>
            <w:pPr>
              <w:pStyle w:val="Compact"/>
            </w:pPr>
            <w:r>
              <w:t xml:space="preserve">1 July 2024</w:t>
            </w:r>
          </w:p>
        </w:tc>
        <w:tc>
          <w:tcPr/>
          <w:p>
            <w:pPr>
              <w:pStyle w:val="Compact"/>
            </w:pPr>
            <w:r>
              <w:t xml:space="preserve">First issue, replacing Finance Circular FC-03 (2021)</w:t>
            </w:r>
          </w:p>
        </w:tc>
      </w:tr>
      <w:tr>
        <w:tc>
          <w:tcPr/>
          <w:p>
            <w:pPr>
              <w:pStyle w:val="Compact"/>
            </w:pPr>
            <w:r>
              <w:t xml:space="preserve">2.0</w:t>
            </w:r>
          </w:p>
        </w:tc>
        <w:tc>
          <w:tcPr/>
          <w:p>
            <w:pPr>
              <w:pStyle w:val="Compact"/>
            </w:pPr>
            <w:r>
              <w:t xml:space="preserve">1 July 2026</w:t>
            </w:r>
          </w:p>
        </w:tc>
        <w:tc>
          <w:tcPr/>
          <w:p>
            <w:pPr>
              <w:pStyle w:val="Compact"/>
            </w:pPr>
            <w:r>
              <w:t xml:space="preserve">Claim deadline reduced from 30 to 15 calendar days (§11.2); receipt threshold reduced from PKR 2,000 to PKR 1,000 (§11.3); major-city hotel limits raised to PKR 12,000 (G1–G3) and PKR 22,000 (G4) (§6.1); G1–G2 per diem raised to PKR 2,000 (§7.1); claims above PKR 50,000 now also need COO approval (§12.1); mileage raised from PKR 35 to PKR 45 per km (§5.4.2); air travel extended to G3 for trips over 700 km (§5.1.2); transition rules added (§1.5); policy approver changed from COO to CEO</w:t>
            </w:r>
          </w:p>
        </w:tc>
      </w:tr>
    </w:tbl>
    <w:p>
      <w:r>
        <w:pict>
          <v:rect style="width:0;height:1.5pt" o:hralign="center" o:hrstd="t" o:hr="t"/>
        </w:pict>
      </w:r>
    </w:p>
    <w:p>
      <w:pPr>
        <w:pStyle w:val="FirstParagraph"/>
      </w:pPr>
      <w:r>
        <w:t xml:space="preserve">Fictional company — created for software demonstration only.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2026-10-22T09:20:53Z</dcterms:created>
  <dcterms:modified xsi:type="dcterms:W3CDTF">2026-10-22T09:20:53Z</dcterms:modified>
</cp:coreProperties>
</file>

<file path=docProps/custom.xml><?xml version="1.0" encoding="utf-8"?>
<Properties xmlns="http://schemas.openxmlformats.org/officeDocument/2006/custom-properties" xmlns:vt="http://schemas.openxmlformats.org/officeDocument/2006/docPropsVTypes"/>
</file>