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Heading1"/>
      </w:pPr>
      <w:bookmarkStart w:id="9" w:name="_9d794706b064e967700368e43610c71ea3f5216"/>
      <w:r>
        <w:t xml:space="preserve">HR &amp; Leave Policy</w:t>
      </w:r>
      <w:bookmarkEnd w:id="9"/>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Field</w:t>
            </w:r>
          </w:p>
        </w:tc>
        <w:tc>
          <w:tcPr/>
          <w:p>
            <w:pPr>
              <w:pStyle w:val="Compact"/>
            </w:pPr>
            <w:r>
              <w:t xml:space="preserve">Detail</w:t>
            </w:r>
          </w:p>
        </w:tc>
      </w:tr>
      <w:tr>
        <w:tc>
          <w:tcPr/>
          <w:p>
            <w:pPr>
              <w:pStyle w:val="Compact"/>
            </w:pPr>
            <w:r>
              <w:t xml:space="preserve">Company</w:t>
            </w:r>
          </w:p>
        </w:tc>
        <w:tc>
          <w:tcPr/>
          <w:p>
            <w:pPr>
              <w:pStyle w:val="Compact"/>
            </w:pPr>
            <w:r>
              <w:t xml:space="preserve">Indus Freight Lines (Pvt.) Ltd.</w:t>
            </w:r>
          </w:p>
        </w:tc>
      </w:tr>
      <w:tr>
        <w:tc>
          <w:tcPr/>
          <w:p>
            <w:pPr>
              <w:pStyle w:val="Compact"/>
            </w:pPr>
            <w:r>
              <w:t xml:space="preserve">Document ID</w:t>
            </w:r>
          </w:p>
        </w:tc>
        <w:tc>
          <w:tcPr/>
          <w:p>
            <w:pPr>
              <w:pStyle w:val="Compact"/>
            </w:pPr>
            <w:r>
              <w:t xml:space="preserve">IFL-HR-001</w:t>
            </w:r>
          </w:p>
        </w:tc>
      </w:tr>
      <w:tr>
        <w:tc>
          <w:tcPr/>
          <w:p>
            <w:pPr>
              <w:pStyle w:val="Compact"/>
            </w:pPr>
            <w:r>
              <w:t xml:space="preserve">Version</w:t>
            </w:r>
          </w:p>
        </w:tc>
        <w:tc>
          <w:tcPr/>
          <w:p>
            <w:pPr>
              <w:pStyle w:val="Compact"/>
            </w:pPr>
            <w:r>
              <w:t xml:space="preserve">3.0</w:t>
            </w:r>
          </w:p>
        </w:tc>
      </w:tr>
      <w:tr>
        <w:tc>
          <w:tcPr/>
          <w:p>
            <w:pPr>
              <w:pStyle w:val="Compact"/>
            </w:pPr>
            <w:r>
              <w:t xml:space="preserve">Effective date</w:t>
            </w:r>
          </w:p>
        </w:tc>
        <w:tc>
          <w:tcPr/>
          <w:p>
            <w:pPr>
              <w:pStyle w:val="Compact"/>
            </w:pPr>
            <w:r>
              <w:t xml:space="preserve">1 January 2026</w:t>
            </w:r>
          </w:p>
        </w:tc>
      </w:tr>
      <w:tr>
        <w:tc>
          <w:tcPr/>
          <w:p>
            <w:pPr>
              <w:pStyle w:val="Compact"/>
            </w:pPr>
            <w:r>
              <w:t xml:space="preserve">Supersedes</w:t>
            </w:r>
          </w:p>
        </w:tc>
        <w:tc>
          <w:tcPr/>
          <w:p>
            <w:pPr>
              <w:pStyle w:val="Compact"/>
            </w:pPr>
            <w:r>
              <w:t xml:space="preserve">Version 2.0 (effective 1 January 2024)</w:t>
            </w:r>
          </w:p>
        </w:tc>
      </w:tr>
      <w:tr>
        <w:tc>
          <w:tcPr/>
          <w:p>
            <w:pPr>
              <w:pStyle w:val="Compact"/>
            </w:pPr>
            <w:r>
              <w:t xml:space="preserve">Owner</w:t>
            </w:r>
          </w:p>
        </w:tc>
        <w:tc>
          <w:tcPr/>
          <w:p>
            <w:pPr>
              <w:pStyle w:val="Compact"/>
            </w:pPr>
            <w:r>
              <w:t xml:space="preserve">HR Manager</w:t>
            </w:r>
          </w:p>
        </w:tc>
      </w:tr>
      <w:tr>
        <w:tc>
          <w:tcPr/>
          <w:p>
            <w:pPr>
              <w:pStyle w:val="Compact"/>
            </w:pPr>
            <w:r>
              <w:t xml:space="preserve">Approved by</w:t>
            </w:r>
          </w:p>
        </w:tc>
        <w:tc>
          <w:tcPr/>
          <w:p>
            <w:pPr>
              <w:pStyle w:val="Compact"/>
            </w:pPr>
            <w:r>
              <w:t xml:space="preserve">CEO</w:t>
            </w:r>
          </w:p>
        </w:tc>
      </w:tr>
      <w:tr>
        <w:tc>
          <w:tcPr/>
          <w:p>
            <w:pPr>
              <w:pStyle w:val="Compact"/>
            </w:pPr>
            <w:r>
              <w:t xml:space="preserve">Next review date</w:t>
            </w:r>
          </w:p>
        </w:tc>
        <w:tc>
          <w:tcPr/>
          <w:p>
            <w:pPr>
              <w:pStyle w:val="Compact"/>
            </w:pPr>
            <w:r>
              <w:t xml:space="preserve">1 January 2027</w:t>
            </w:r>
          </w:p>
        </w:tc>
      </w:tr>
      <w:tr>
        <w:tc>
          <w:tcPr/>
          <w:p>
            <w:pPr>
              <w:pStyle w:val="Compact"/>
            </w:pPr>
            <w:r>
              <w:t xml:space="preserve">Applies to</w:t>
            </w:r>
          </w:p>
        </w:tc>
        <w:tc>
          <w:tcPr/>
          <w:p>
            <w:pPr>
              <w:pStyle w:val="Compact"/>
            </w:pPr>
            <w:r>
              <w:t xml:space="preserve">All employees (head office, warehouse, fleet, managers)</w:t>
            </w:r>
          </w:p>
        </w:tc>
      </w:tr>
    </w:tbl>
    <w:p>
      <w:r>
        <w:pict>
          <v:rect style="width:0;height:1.5pt" o:hralign="center" o:hrstd="t" o:hr="t"/>
        </w:pict>
      </w:r>
    </w:p>
    <w:p>
      <w:pPr>
        <w:pStyle w:val="Heading2"/>
      </w:pPr>
      <w:bookmarkStart w:id="10" w:name="_7f7cd9c9a015a8815b805d959c49a8b0d682e8b"/>
      <w:r>
        <w:t xml:space="preserve">1. Purpose and Scope</w:t>
      </w:r>
      <w:bookmarkEnd w:id="10"/>
    </w:p>
    <w:p>
      <w:pPr>
        <w:pStyle w:val="FirstParagraph"/>
      </w:pPr>
      <w:r>
        <w:t xml:space="preserve">1.1 This policy sets out the terms for employment categories, probation, working hours, attendance, public holidays, leave, overtime, allowances and separation at Indus Freight Lines (Pvt.) Ltd. (</w:t>
      </w:r>
      <w:r>
        <w:t xml:space="preserve">“the Company”</w:t>
      </w:r>
      <w:r>
        <w:t xml:space="preserve">).</w:t>
      </w:r>
    </w:p>
    <w:p>
      <w:pPr>
        <w:pStyle w:val="BodyText"/>
      </w:pPr>
      <w:r>
        <w:t xml:space="preserve">1.2 This policy applies to all 80 permanent and probationary employees at the Karachi head office and the Lahore warehouse, fleet yard and operations office.</w:t>
      </w:r>
    </w:p>
    <w:p>
      <w:pPr>
        <w:pStyle w:val="BodyText"/>
      </w:pPr>
      <w:r>
        <w:t xml:space="preserve">1.3 Contract drivers, loaders supplied by third-party agencies and interns are not covered by this policy. Their terms are set by their individual contracts.</w:t>
      </w:r>
    </w:p>
    <w:p>
      <w:pPr>
        <w:pStyle w:val="BodyText"/>
      </w:pPr>
      <w:r>
        <w:t xml:space="preserve">1.4 Where this policy conflicts with applicable law, the law prevails. Where an individual employment contract gives a more favourable term, the contract prevails.</w:t>
      </w:r>
    </w:p>
    <w:p>
      <w:pPr>
        <w:pStyle w:val="BodyText"/>
      </w:pPr>
      <w:r>
        <w:t xml:space="preserve">1.5 Related documents:</w:t>
      </w:r>
      <w:r>
        <w:t xml:space="preserve"> </w:t>
      </w:r>
      <w:r>
        <w:t xml:space="preserve">- IFL-HR-002 Code of Conduct</w:t>
      </w:r>
      <w:r>
        <w:t xml:space="preserve"> </w:t>
      </w:r>
      <w:r>
        <w:t xml:space="preserve">- IFL-OPS-003 Driver Handbook</w:t>
      </w:r>
      <w:r>
        <w:t xml:space="preserve"> </w:t>
      </w:r>
      <w:r>
        <w:t xml:space="preserve">- IFL-SAF-004 Warehouse Safety SOPs</w:t>
      </w:r>
      <w:r>
        <w:t xml:space="preserve"> </w:t>
      </w:r>
      <w:r>
        <w:t xml:space="preserve">- IFL-SAF-005 Accident &amp; Incident Reporting Procedure</w:t>
      </w:r>
      <w:r>
        <w:t xml:space="preserve"> </w:t>
      </w:r>
      <w:r>
        <w:t xml:space="preserve">- IFL-FIN-007 Expense &amp; Travel Reimbursement Policy (v2.0)</w:t>
      </w:r>
    </w:p>
    <w:p>
      <w:pPr>
        <w:pStyle w:val="Heading2"/>
      </w:pPr>
      <w:bookmarkStart w:id="11" w:name="_definitions"/>
      <w:r>
        <w:t xml:space="preserve">2. Definitions</w:t>
      </w:r>
      <w:bookmarkEnd w:id="11"/>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Term</w:t>
            </w:r>
          </w:p>
        </w:tc>
        <w:tc>
          <w:tcPr/>
          <w:p>
            <w:pPr>
              <w:pStyle w:val="Compact"/>
            </w:pPr>
            <w:r>
              <w:t xml:space="preserve">Meaning</w:t>
            </w:r>
          </w:p>
        </w:tc>
      </w:tr>
      <w:tr>
        <w:tc>
          <w:tcPr/>
          <w:p>
            <w:pPr>
              <w:pStyle w:val="Compact"/>
            </w:pPr>
            <w:r>
              <w:t xml:space="preserve">Basic salary</w:t>
            </w:r>
          </w:p>
        </w:tc>
        <w:tc>
          <w:tcPr/>
          <w:p>
            <w:pPr>
              <w:pStyle w:val="Compact"/>
            </w:pPr>
            <w:r>
              <w:t xml:space="preserve">60% of monthly gross salary. Used for overtime, compensatory pay and leave encashment.</w:t>
            </w:r>
          </w:p>
        </w:tc>
      </w:tr>
      <w:tr>
        <w:tc>
          <w:tcPr/>
          <w:p>
            <w:pPr>
              <w:pStyle w:val="Compact"/>
            </w:pPr>
            <w:r>
              <w:t xml:space="preserve">Confirmation</w:t>
            </w:r>
          </w:p>
        </w:tc>
        <w:tc>
          <w:tcPr/>
          <w:p>
            <w:pPr>
              <w:pStyle w:val="Compact"/>
            </w:pPr>
            <w:r>
              <w:t xml:space="preserve">Written notice from HR that an employee has completed probation.</w:t>
            </w:r>
          </w:p>
        </w:tc>
      </w:tr>
      <w:tr>
        <w:tc>
          <w:tcPr/>
          <w:p>
            <w:pPr>
              <w:pStyle w:val="Compact"/>
            </w:pPr>
            <w:r>
              <w:t xml:space="preserve">Leave year</w:t>
            </w:r>
          </w:p>
        </w:tc>
        <w:tc>
          <w:tcPr/>
          <w:p>
            <w:pPr>
              <w:pStyle w:val="Compact"/>
            </w:pPr>
            <w:r>
              <w:t xml:space="preserve">1 January to 31 December.</w:t>
            </w:r>
          </w:p>
        </w:tc>
      </w:tr>
      <w:tr>
        <w:tc>
          <w:tcPr/>
          <w:p>
            <w:pPr>
              <w:pStyle w:val="Compact"/>
            </w:pPr>
            <w:r>
              <w:t xml:space="preserve">Line manager</w:t>
            </w:r>
          </w:p>
        </w:tc>
        <w:tc>
          <w:tcPr/>
          <w:p>
            <w:pPr>
              <w:pStyle w:val="Compact"/>
            </w:pPr>
            <w:r>
              <w:t xml:space="preserve">The employee’s direct supervisor (G3 or above).</w:t>
            </w:r>
          </w:p>
        </w:tc>
      </w:tr>
      <w:tr>
        <w:tc>
          <w:tcPr/>
          <w:p>
            <w:pPr>
              <w:pStyle w:val="Compact"/>
            </w:pPr>
            <w:r>
              <w:t xml:space="preserve">Department manager</w:t>
            </w:r>
          </w:p>
        </w:tc>
        <w:tc>
          <w:tcPr/>
          <w:p>
            <w:pPr>
              <w:pStyle w:val="Compact"/>
            </w:pPr>
            <w:r>
              <w:t xml:space="preserve">The G4 manager heading the employee’s department.</w:t>
            </w:r>
          </w:p>
        </w:tc>
      </w:tr>
      <w:tr>
        <w:tc>
          <w:tcPr/>
          <w:p>
            <w:pPr>
              <w:pStyle w:val="Compact"/>
            </w:pPr>
            <w:r>
              <w:t xml:space="preserve">Operations staff</w:t>
            </w:r>
          </w:p>
        </w:tc>
        <w:tc>
          <w:tcPr/>
          <w:p>
            <w:pPr>
              <w:pStyle w:val="Compact"/>
            </w:pPr>
            <w:r>
              <w:t xml:space="preserve">Warehouse, fleet, dispatch and HSE staff working the Lahore Monday–Saturday schedule.</w:t>
            </w:r>
          </w:p>
        </w:tc>
      </w:tr>
      <w:tr>
        <w:tc>
          <w:tcPr/>
          <w:p>
            <w:pPr>
              <w:pStyle w:val="Compact"/>
            </w:pPr>
            <w:r>
              <w:t xml:space="preserve">Head office staff</w:t>
            </w:r>
          </w:p>
        </w:tc>
        <w:tc>
          <w:tcPr/>
          <w:p>
            <w:pPr>
              <w:pStyle w:val="Compact"/>
            </w:pPr>
            <w:r>
              <w:t xml:space="preserve">Staff working the Karachi Monday–Friday schedule.</w:t>
            </w:r>
          </w:p>
        </w:tc>
      </w:tr>
      <w:tr>
        <w:tc>
          <w:tcPr/>
          <w:p>
            <w:pPr>
              <w:pStyle w:val="Compact"/>
            </w:pPr>
            <w:r>
              <w:t xml:space="preserve">Immediate family</w:t>
            </w:r>
          </w:p>
        </w:tc>
        <w:tc>
          <w:tcPr/>
          <w:p>
            <w:pPr>
              <w:pStyle w:val="Compact"/>
            </w:pPr>
            <w:r>
              <w:t xml:space="preserve">Spouse, children, parents, siblings, and parents-in-law.</w:t>
            </w:r>
          </w:p>
        </w:tc>
      </w:tr>
      <w:tr>
        <w:tc>
          <w:tcPr/>
          <w:p>
            <w:pPr>
              <w:pStyle w:val="Compact"/>
            </w:pPr>
            <w:r>
              <w:t xml:space="preserve">Working day</w:t>
            </w:r>
          </w:p>
        </w:tc>
        <w:tc>
          <w:tcPr/>
          <w:p>
            <w:pPr>
              <w:pStyle w:val="Compact"/>
            </w:pPr>
            <w:r>
              <w:t xml:space="preserve">A scheduled working day for the employee’s own schedule (Mon–Fri or Mon–Sat).</w:t>
            </w:r>
          </w:p>
        </w:tc>
      </w:tr>
      <w:tr>
        <w:tc>
          <w:tcPr/>
          <w:p>
            <w:pPr>
              <w:pStyle w:val="Compact"/>
            </w:pPr>
            <w:r>
              <w:t xml:space="preserve">HRIS</w:t>
            </w:r>
          </w:p>
        </w:tc>
        <w:tc>
          <w:tcPr/>
          <w:p>
            <w:pPr>
              <w:pStyle w:val="Compact"/>
            </w:pPr>
            <w:r>
              <w:t xml:space="preserve">The Company’s HR information system, used for leave balances and attendance.</w:t>
            </w:r>
          </w:p>
        </w:tc>
      </w:tr>
    </w:tbl>
    <w:p>
      <w:pPr>
        <w:pStyle w:val="Heading2"/>
      </w:pPr>
      <w:bookmarkStart w:id="12" w:name="_147f4119eeb07b8bbeccd3d9b99ab12b0675770"/>
      <w:r>
        <w:t xml:space="preserve">3. Employment Categories and Probation</w:t>
      </w:r>
      <w:bookmarkEnd w:id="12"/>
    </w:p>
    <w:p>
      <w:pPr>
        <w:pStyle w:val="FirstParagraph"/>
      </w:pPr>
      <w:r>
        <w:t xml:space="preserve">3.1</w:t>
      </w:r>
      <w:r>
        <w:t xml:space="preserve"> </w:t>
      </w:r>
      <w:r>
        <w:rPr>
          <w:b/>
          <w:bCs/>
        </w:rPr>
        <w:t xml:space="preserve">Categories.</w:t>
      </w:r>
      <w:r>
        <w:t xml:space="preserve"> </w:t>
      </w:r>
      <w:r>
        <w:t xml:space="preserve">Employees are either probationary or confirmed. All employees are placed in a grade band (G1–G5) as listed in Table 3.1.</w:t>
      </w:r>
    </w:p>
    <w:p>
      <w:pPr>
        <w:pStyle w:val="BodyText"/>
      </w:pPr>
      <w:r>
        <w:rPr>
          <w:b/>
          <w:bCs/>
        </w:rPr>
        <w:t xml:space="preserve">Table 3.1 – Grade bands</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t xml:space="preserve">Grade</w:t>
            </w:r>
          </w:p>
        </w:tc>
        <w:tc>
          <w:tcPr/>
          <w:p>
            <w:pPr>
              <w:pStyle w:val="Compact"/>
            </w:pPr>
            <w:r>
              <w:t xml:space="preserve">Level</w:t>
            </w:r>
          </w:p>
        </w:tc>
        <w:tc>
          <w:tcPr/>
          <w:p>
            <w:pPr>
              <w:pStyle w:val="Compact"/>
            </w:pPr>
            <w:r>
              <w:t xml:space="preserve">Example roles</w:t>
            </w:r>
          </w:p>
        </w:tc>
        <w:tc>
          <w:tcPr/>
          <w:p>
            <w:pPr>
              <w:pStyle w:val="Compact"/>
            </w:pPr>
            <w:r>
              <w:t xml:space="preserve">Monthly gross (PKR)</w:t>
            </w:r>
          </w:p>
        </w:tc>
      </w:tr>
      <w:tr>
        <w:tc>
          <w:tcPr/>
          <w:p>
            <w:pPr>
              <w:pStyle w:val="Compact"/>
            </w:pPr>
            <w:r>
              <w:t xml:space="preserve">G1</w:t>
            </w:r>
          </w:p>
        </w:tc>
        <w:tc>
          <w:tcPr/>
          <w:p>
            <w:pPr>
              <w:pStyle w:val="Compact"/>
            </w:pPr>
            <w:r>
              <w:t xml:space="preserve">Operative</w:t>
            </w:r>
          </w:p>
        </w:tc>
        <w:tc>
          <w:tcPr/>
          <w:p>
            <w:pPr>
              <w:pStyle w:val="Compact"/>
            </w:pPr>
            <w:r>
              <w:t xml:space="preserve">Warehouse Associate, LTV Driver</w:t>
            </w:r>
          </w:p>
        </w:tc>
        <w:tc>
          <w:tcPr/>
          <w:p>
            <w:pPr>
              <w:pStyle w:val="Compact"/>
            </w:pPr>
            <w:r>
              <w:t xml:space="preserve">45,000 – 70,000</w:t>
            </w:r>
          </w:p>
        </w:tc>
      </w:tr>
      <w:tr>
        <w:tc>
          <w:tcPr/>
          <w:p>
            <w:pPr>
              <w:pStyle w:val="Compact"/>
            </w:pPr>
            <w:r>
              <w:t xml:space="preserve">G2</w:t>
            </w:r>
          </w:p>
        </w:tc>
        <w:tc>
          <w:tcPr/>
          <w:p>
            <w:pPr>
              <w:pStyle w:val="Compact"/>
            </w:pPr>
            <w:r>
              <w:t xml:space="preserve">Skilled</w:t>
            </w:r>
          </w:p>
        </w:tc>
        <w:tc>
          <w:tcPr/>
          <w:p>
            <w:pPr>
              <w:pStyle w:val="Compact"/>
            </w:pPr>
            <w:r>
              <w:t xml:space="preserve">HTV Driver, Forklift Operator, Mechanic, Admin Officer, Customer Service Officer</w:t>
            </w:r>
          </w:p>
        </w:tc>
        <w:tc>
          <w:tcPr/>
          <w:p>
            <w:pPr>
              <w:pStyle w:val="Compact"/>
            </w:pPr>
            <w:r>
              <w:t xml:space="preserve">65,000 – 110,000</w:t>
            </w:r>
          </w:p>
        </w:tc>
      </w:tr>
      <w:tr>
        <w:tc>
          <w:tcPr/>
          <w:p>
            <w:pPr>
              <w:pStyle w:val="Compact"/>
            </w:pPr>
            <w:r>
              <w:t xml:space="preserve">G3</w:t>
            </w:r>
          </w:p>
        </w:tc>
        <w:tc>
          <w:tcPr/>
          <w:p>
            <w:pPr>
              <w:pStyle w:val="Compact"/>
            </w:pPr>
            <w:r>
              <w:t xml:space="preserve">Officer/Supervisor</w:t>
            </w:r>
          </w:p>
        </w:tc>
        <w:tc>
          <w:tcPr/>
          <w:p>
            <w:pPr>
              <w:pStyle w:val="Compact"/>
            </w:pPr>
            <w:r>
              <w:t xml:space="preserve">HR Officer, Accountant, Dispatch Supervisor, Warehouse Supervisor, HSE Officer</w:t>
            </w:r>
          </w:p>
        </w:tc>
        <w:tc>
          <w:tcPr/>
          <w:p>
            <w:pPr>
              <w:pStyle w:val="Compact"/>
            </w:pPr>
            <w:r>
              <w:t xml:space="preserve">100,000 – 200,000</w:t>
            </w:r>
          </w:p>
        </w:tc>
      </w:tr>
      <w:tr>
        <w:tc>
          <w:tcPr/>
          <w:p>
            <w:pPr>
              <w:pStyle w:val="Compact"/>
            </w:pPr>
            <w:r>
              <w:t xml:space="preserve">G4</w:t>
            </w:r>
          </w:p>
        </w:tc>
        <w:tc>
          <w:tcPr/>
          <w:p>
            <w:pPr>
              <w:pStyle w:val="Compact"/>
            </w:pPr>
            <w:r>
              <w:t xml:space="preserve">Manager</w:t>
            </w:r>
          </w:p>
        </w:tc>
        <w:tc>
          <w:tcPr/>
          <w:p>
            <w:pPr>
              <w:pStyle w:val="Compact"/>
            </w:pPr>
            <w:r>
              <w:t xml:space="preserve">Department Managers</w:t>
            </w:r>
          </w:p>
        </w:tc>
        <w:tc>
          <w:tcPr/>
          <w:p>
            <w:pPr>
              <w:pStyle w:val="Compact"/>
            </w:pPr>
            <w:r>
              <w:t xml:space="preserve">220,000 – 450,000</w:t>
            </w:r>
          </w:p>
        </w:tc>
      </w:tr>
      <w:tr>
        <w:tc>
          <w:tcPr/>
          <w:p>
            <w:pPr>
              <w:pStyle w:val="Compact"/>
            </w:pPr>
            <w:r>
              <w:t xml:space="preserve">G5</w:t>
            </w:r>
          </w:p>
        </w:tc>
        <w:tc>
          <w:tcPr/>
          <w:p>
            <w:pPr>
              <w:pStyle w:val="Compact"/>
            </w:pPr>
            <w:r>
              <w:t xml:space="preserve">Senior Leadership</w:t>
            </w:r>
          </w:p>
        </w:tc>
        <w:tc>
          <w:tcPr/>
          <w:p>
            <w:pPr>
              <w:pStyle w:val="Compact"/>
            </w:pPr>
            <w:r>
              <w:t xml:space="preserve">COO, CEO</w:t>
            </w:r>
          </w:p>
        </w:tc>
        <w:tc>
          <w:tcPr/>
          <w:p>
            <w:pPr>
              <w:pStyle w:val="Compact"/>
            </w:pPr>
            <w:r>
              <w:t xml:space="preserve">500,000+</w:t>
            </w:r>
          </w:p>
        </w:tc>
      </w:tr>
    </w:tbl>
    <w:p>
      <w:pPr>
        <w:pStyle w:val="FirstParagraph"/>
      </w:pPr>
      <w:r>
        <w:t xml:space="preserve">3.2</w:t>
      </w:r>
      <w:r>
        <w:t xml:space="preserve"> </w:t>
      </w:r>
      <w:r>
        <w:rPr>
          <w:b/>
          <w:bCs/>
        </w:rPr>
        <w:t xml:space="preserve">Probation period</w:t>
      </w:r>
      <w:r>
        <w:t xml:space="preserve"> </w:t>
      </w:r>
      <w:r>
        <w:t xml:space="preserve">- 3.2.1 Probation is 3 months for all employees except drivers.</w:t>
      </w:r>
      <w:r>
        <w:t xml:space="preserve"> </w:t>
      </w:r>
      <w:r>
        <w:t xml:space="preserve">- 3.2.2 Probation for HTV and LTV drivers is 6 months. It includes a road assessment by the Fleet Supervisor before the end of month 4 (see IFL-OPS-003 §2.4).</w:t>
      </w:r>
      <w:r>
        <w:t xml:space="preserve"> </w:t>
      </w:r>
      <w:r>
        <w:t xml:space="preserve">- 3.2.3 Probation may be extended once by up to 3 months. The department manager must request the extension in writing to the HR Manager at least 7 days before probation ends.</w:t>
      </w:r>
      <w:r>
        <w:t xml:space="preserve"> </w:t>
      </w:r>
      <w:r>
        <w:t xml:space="preserve">- 3.2.4 If no confirmation or extension is issued within 10 working days after probation ends, the employee is treated as confirmed from the day after probation ended.</w:t>
      </w:r>
    </w:p>
    <w:p>
      <w:pPr>
        <w:pStyle w:val="BodyText"/>
      </w:pPr>
      <w:r>
        <w:t xml:space="preserve">3.3</w:t>
      </w:r>
      <w:r>
        <w:t xml:space="preserve"> </w:t>
      </w:r>
      <w:r>
        <w:rPr>
          <w:b/>
          <w:bCs/>
        </w:rPr>
        <w:t xml:space="preserve">Probationer restrictions.</w:t>
      </w:r>
      <w:r>
        <w:t xml:space="preserve"> </w:t>
      </w:r>
      <w:r>
        <w:t xml:space="preserve">During probation, employees:</w:t>
      </w:r>
      <w:r>
        <w:t xml:space="preserve"> </w:t>
      </w:r>
      <w:r>
        <w:t xml:space="preserve">- cannot take annual leave (it accrues but is usable only after confirmation);</w:t>
      </w:r>
      <w:r>
        <w:t xml:space="preserve"> </w:t>
      </w:r>
      <w:r>
        <w:t xml:space="preserve">- accrue casual leave at 1 day per completed month;</w:t>
      </w:r>
      <w:r>
        <w:t xml:space="preserve"> </w:t>
      </w:r>
      <w:r>
        <w:t xml:space="preserve">- may take sick leave from their full entitlement;</w:t>
      </w:r>
      <w:r>
        <w:t xml:space="preserve"> </w:t>
      </w:r>
      <w:r>
        <w:t xml:space="preserve">- are not eligible for paid Hajj leave or unpaid leave, except for documented emergencies approved by the COO.</w:t>
      </w:r>
    </w:p>
    <w:p>
      <w:pPr>
        <w:pStyle w:val="Heading2"/>
      </w:pPr>
      <w:bookmarkStart w:id="13" w:name="_a83ceefe93fc661c1741611e0a4bc8712f943c1"/>
      <w:r>
        <w:t xml:space="preserve">4. Working Hours and Attendance</w:t>
      </w:r>
      <w:bookmarkEnd w:id="13"/>
    </w:p>
    <w:p>
      <w:pPr>
        <w:pStyle w:val="FirstParagraph"/>
      </w:pPr>
      <w:r>
        <w:t xml:space="preserve">4.1</w:t>
      </w:r>
      <w:r>
        <w:t xml:space="preserve"> </w:t>
      </w:r>
      <w:r>
        <w:rPr>
          <w:b/>
          <w:bCs/>
        </w:rPr>
        <w:t xml:space="preserve">Standard hours</w:t>
      </w:r>
    </w:p>
    <w:p>
      <w:pPr>
        <w:pStyle w:val="BodyText"/>
      </w:pPr>
      <w:r>
        <w:rPr>
          <w:b/>
          <w:bCs/>
        </w:rPr>
        <w:t xml:space="preserve">Table 4.1 – Working hours</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t xml:space="preserve">Group</w:t>
            </w:r>
          </w:p>
        </w:tc>
        <w:tc>
          <w:tcPr/>
          <w:p>
            <w:pPr>
              <w:pStyle w:val="Compact"/>
            </w:pPr>
            <w:r>
              <w:t xml:space="preserve">Days</w:t>
            </w:r>
          </w:p>
        </w:tc>
        <w:tc>
          <w:tcPr/>
          <w:p>
            <w:pPr>
              <w:pStyle w:val="Compact"/>
            </w:pPr>
            <w:r>
              <w:t xml:space="preserve">Normal hours</w:t>
            </w:r>
          </w:p>
        </w:tc>
        <w:tc>
          <w:tcPr/>
          <w:p>
            <w:pPr>
              <w:pStyle w:val="Compact"/>
            </w:pPr>
            <w:r>
              <w:t xml:space="preserve">Ramadan hours</w:t>
            </w:r>
          </w:p>
        </w:tc>
      </w:tr>
      <w:tr>
        <w:tc>
          <w:tcPr/>
          <w:p>
            <w:pPr>
              <w:pStyle w:val="Compact"/>
            </w:pPr>
            <w:r>
              <w:t xml:space="preserve">Karachi head office</w:t>
            </w:r>
          </w:p>
        </w:tc>
        <w:tc>
          <w:tcPr/>
          <w:p>
            <w:pPr>
              <w:pStyle w:val="Compact"/>
            </w:pPr>
            <w:r>
              <w:t xml:space="preserve">Mon–Fri</w:t>
            </w:r>
          </w:p>
        </w:tc>
        <w:tc>
          <w:tcPr/>
          <w:p>
            <w:pPr>
              <w:pStyle w:val="Compact"/>
            </w:pPr>
            <w:r>
              <w:t xml:space="preserve">09:00–17:30 (break 13:00–14:00; Fri 12:45–14:15)</w:t>
            </w:r>
          </w:p>
        </w:tc>
        <w:tc>
          <w:tcPr/>
          <w:p>
            <w:pPr>
              <w:pStyle w:val="Compact"/>
            </w:pPr>
            <w:r>
              <w:t xml:space="preserve">09:00–15:00</w:t>
            </w:r>
          </w:p>
        </w:tc>
      </w:tr>
      <w:tr>
        <w:tc>
          <w:tcPr/>
          <w:p>
            <w:pPr>
              <w:pStyle w:val="Compact"/>
            </w:pPr>
            <w:r>
              <w:t xml:space="preserve">Lahore operations office</w:t>
            </w:r>
          </w:p>
        </w:tc>
        <w:tc>
          <w:tcPr/>
          <w:p>
            <w:pPr>
              <w:pStyle w:val="Compact"/>
            </w:pPr>
            <w:r>
              <w:t xml:space="preserve">Mon–Sat</w:t>
            </w:r>
          </w:p>
        </w:tc>
        <w:tc>
          <w:tcPr/>
          <w:p>
            <w:pPr>
              <w:pStyle w:val="Compact"/>
            </w:pPr>
            <w:r>
              <w:t xml:space="preserve">08:30–17:00</w:t>
            </w:r>
          </w:p>
        </w:tc>
        <w:tc>
          <w:tcPr/>
          <w:p>
            <w:pPr>
              <w:pStyle w:val="Compact"/>
            </w:pPr>
            <w:r>
              <w:t xml:space="preserve">08:30–14:30</w:t>
            </w:r>
          </w:p>
        </w:tc>
      </w:tr>
      <w:tr>
        <w:tc>
          <w:tcPr/>
          <w:p>
            <w:pPr>
              <w:pStyle w:val="Compact"/>
            </w:pPr>
            <w:r>
              <w:t xml:space="preserve">Warehouse Shift A</w:t>
            </w:r>
          </w:p>
        </w:tc>
        <w:tc>
          <w:tcPr/>
          <w:p>
            <w:pPr>
              <w:pStyle w:val="Compact"/>
            </w:pPr>
            <w:r>
              <w:t xml:space="preserve">Mon–Sat</w:t>
            </w:r>
          </w:p>
        </w:tc>
        <w:tc>
          <w:tcPr/>
          <w:p>
            <w:pPr>
              <w:pStyle w:val="Compact"/>
            </w:pPr>
            <w:r>
              <w:t xml:space="preserve">07:00–15:00</w:t>
            </w:r>
          </w:p>
        </w:tc>
        <w:tc>
          <w:tcPr/>
          <w:p>
            <w:pPr>
              <w:pStyle w:val="Compact"/>
            </w:pPr>
            <w:r>
              <w:t xml:space="preserve">07:00–13:00</w:t>
            </w:r>
          </w:p>
        </w:tc>
      </w:tr>
      <w:tr>
        <w:tc>
          <w:tcPr/>
          <w:p>
            <w:pPr>
              <w:pStyle w:val="Compact"/>
            </w:pPr>
            <w:r>
              <w:t xml:space="preserve">Warehouse Shift B</w:t>
            </w:r>
          </w:p>
        </w:tc>
        <w:tc>
          <w:tcPr/>
          <w:p>
            <w:pPr>
              <w:pStyle w:val="Compact"/>
            </w:pPr>
            <w:r>
              <w:t xml:space="preserve">Mon–Sat</w:t>
            </w:r>
          </w:p>
        </w:tc>
        <w:tc>
          <w:tcPr/>
          <w:p>
            <w:pPr>
              <w:pStyle w:val="Compact"/>
            </w:pPr>
            <w:r>
              <w:t xml:space="preserve">15:00–23:00</w:t>
            </w:r>
          </w:p>
        </w:tc>
        <w:tc>
          <w:tcPr/>
          <w:p>
            <w:pPr>
              <w:pStyle w:val="Compact"/>
            </w:pPr>
            <w:r>
              <w:t xml:space="preserve">16:00–22:00</w:t>
            </w:r>
          </w:p>
        </w:tc>
      </w:tr>
      <w:tr>
        <w:tc>
          <w:tcPr/>
          <w:p>
            <w:pPr>
              <w:pStyle w:val="Compact"/>
            </w:pPr>
            <w:r>
              <w:t xml:space="preserve">Dispatch Control Room</w:t>
            </w:r>
          </w:p>
        </w:tc>
        <w:tc>
          <w:tcPr/>
          <w:p>
            <w:pPr>
              <w:pStyle w:val="Compact"/>
            </w:pPr>
            <w:r>
              <w:t xml:space="preserve">24/7 rotating roster</w:t>
            </w:r>
          </w:p>
        </w:tc>
        <w:tc>
          <w:tcPr/>
          <w:p>
            <w:pPr>
              <w:pStyle w:val="Compact"/>
            </w:pPr>
            <w:r>
              <w:t xml:space="preserve">8-hour shifts</w:t>
            </w:r>
          </w:p>
        </w:tc>
        <w:tc>
          <w:tcPr/>
          <w:p>
            <w:pPr>
              <w:pStyle w:val="Compact"/>
            </w:pPr>
            <w:r>
              <w:t xml:space="preserve">8-hour shifts</w:t>
            </w:r>
          </w:p>
        </w:tc>
      </w:tr>
    </w:tbl>
    <w:p>
      <w:pPr>
        <w:pStyle w:val="FirstParagraph"/>
      </w:pPr>
      <w:r>
        <w:t xml:space="preserve">4.2</w:t>
      </w:r>
      <w:r>
        <w:t xml:space="preserve"> </w:t>
      </w:r>
      <w:r>
        <w:rPr>
          <w:b/>
          <w:bCs/>
        </w:rPr>
        <w:t xml:space="preserve">Drivers.</w:t>
      </w:r>
      <w:r>
        <w:t xml:space="preserve"> </w:t>
      </w:r>
      <w:r>
        <w:t xml:space="preserve">Driver duty and rest hours are governed by IFL-OPS-003 §4 (maximum 9 hours driving per day, minimum 11 hours daily rest, maximum 56 hours driving per week). Where IFL-OPS-003 and this policy differ on driver hours, IFL-OPS-003 prevails.</w:t>
      </w:r>
    </w:p>
    <w:p>
      <w:pPr>
        <w:pStyle w:val="BodyText"/>
      </w:pPr>
      <w:r>
        <w:t xml:space="preserve">4.3</w:t>
      </w:r>
      <w:r>
        <w:t xml:space="preserve"> </w:t>
      </w:r>
      <w:r>
        <w:rPr>
          <w:b/>
          <w:bCs/>
        </w:rPr>
        <w:t xml:space="preserve">Attendance recording</w:t>
      </w:r>
      <w:r>
        <w:t xml:space="preserve"> </w:t>
      </w:r>
      <w:r>
        <w:t xml:space="preserve">- 4.3.1 Head office and warehouse staff record attendance on the biometric terminal at entry and exit.</w:t>
      </w:r>
      <w:r>
        <w:t xml:space="preserve"> </w:t>
      </w:r>
      <w:r>
        <w:t xml:space="preserve">- 4.3.2 Drivers record duty start and end on Form FLT-02 (Driver Duty &amp; Rest Log). The Dispatch Control Room enters this into HRIS within 24 hours.</w:t>
      </w:r>
    </w:p>
    <w:p>
      <w:pPr>
        <w:pStyle w:val="BodyText"/>
      </w:pPr>
      <w:r>
        <w:t xml:space="preserve">4.4</w:t>
      </w:r>
      <w:r>
        <w:t xml:space="preserve"> </w:t>
      </w:r>
      <w:r>
        <w:rPr>
          <w:b/>
          <w:bCs/>
        </w:rPr>
        <w:t xml:space="preserve">Late arrival</w:t>
      </w:r>
      <w:r>
        <w:t xml:space="preserve"> </w:t>
      </w:r>
      <w:r>
        <w:t xml:space="preserve">- 4.4.1 A grace period of 15 minutes applies.</w:t>
      </w:r>
      <w:r>
        <w:t xml:space="preserve"> </w:t>
      </w:r>
      <w:r>
        <w:t xml:space="preserve">- 4.4.2 Three late arrivals beyond the grace period in one calendar month are recorded as 0.5 day casual leave. If no casual leave is available, the 0.5 day is unpaid.</w:t>
      </w:r>
    </w:p>
    <w:p>
      <w:pPr>
        <w:pStyle w:val="BodyText"/>
      </w:pPr>
      <w:r>
        <w:t xml:space="preserve">4.5</w:t>
      </w:r>
      <w:r>
        <w:t xml:space="preserve"> </w:t>
      </w:r>
      <w:r>
        <w:rPr>
          <w:b/>
          <w:bCs/>
        </w:rPr>
        <w:t xml:space="preserve">Shift swaps.</w:t>
      </w:r>
      <w:r>
        <w:t xml:space="preserve"> </w:t>
      </w:r>
      <w:r>
        <w:t xml:space="preserve">Warehouse and Control Room staff may swap shifts using Form HR-05. The swap requires the Warehouse Supervisor’s or Dispatch Supervisor’s approval at least 24 hours before the earlier shift. A swap must not give either employee less than 11 hours’ rest between shifts.</w:t>
      </w:r>
    </w:p>
    <w:p>
      <w:pPr>
        <w:pStyle w:val="BodyText"/>
      </w:pPr>
      <w:r>
        <w:t xml:space="preserve">4.6</w:t>
      </w:r>
      <w:r>
        <w:t xml:space="preserve"> </w:t>
      </w:r>
      <w:r>
        <w:rPr>
          <w:b/>
          <w:bCs/>
        </w:rPr>
        <w:t xml:space="preserve">Unauthorised absence</w:t>
      </w:r>
      <w:r>
        <w:t xml:space="preserve"> </w:t>
      </w:r>
      <w:r>
        <w:t xml:space="preserve">- 4.6.1 Absence without approval or notification is unpaid and may lead to disciplinary action under IFL-HR-002 §9.</w:t>
      </w:r>
      <w:r>
        <w:t xml:space="preserve"> </w:t>
      </w:r>
      <w:r>
        <w:t xml:space="preserve">- 4.6.2 Unauthorised absence for 3 or more consecutive working days triggers a written notice to the employee’s registered address. If the employee does not respond within 7 days, the Company may treat the absence as abandonment of employment.</w:t>
      </w:r>
    </w:p>
    <w:p>
      <w:pPr>
        <w:pStyle w:val="Heading2"/>
      </w:pPr>
      <w:bookmarkStart w:id="14" w:name="_8c207cec429a7b8f02ed4aabd1784141ab29a78"/>
      <w:r>
        <w:t xml:space="preserve">5. Public Holidays</w:t>
      </w:r>
      <w:bookmarkEnd w:id="14"/>
    </w:p>
    <w:p>
      <w:pPr>
        <w:pStyle w:val="FirstParagraph"/>
      </w:pPr>
      <w:r>
        <w:t xml:space="preserve">5.1 The Company observes public holidays as notified by the Federal Government each year. HR publishes the confirmed list on the noticeboard and by email (hr@indusfreight.example) by 15 December for the following year.</w:t>
      </w:r>
    </w:p>
    <w:p>
      <w:pPr>
        <w:pStyle w:val="BodyText"/>
      </w:pPr>
      <w:r>
        <w:t xml:space="preserve">5.2 Religious holidays that depend on moon sighting (Eid ul-Fitr, Eid ul-Adha, Ashura and similar) are confirmed by HR once officially announced.</w:t>
      </w:r>
    </w:p>
    <w:p>
      <w:pPr>
        <w:pStyle w:val="BodyText"/>
      </w:pPr>
      <w:r>
        <w:t xml:space="preserve">5.3</w:t>
      </w:r>
      <w:r>
        <w:t xml:space="preserve"> </w:t>
      </w:r>
      <w:r>
        <w:rPr>
          <w:b/>
          <w:bCs/>
        </w:rPr>
        <w:t xml:space="preserve">Operations staff working on public holidays</w:t>
      </w:r>
      <w:r>
        <w:t xml:space="preserve"> </w:t>
      </w:r>
      <w:r>
        <w:t xml:space="preserve">- 5.3.1 Operations staff may be rostered on public holidays for customer commitments.</w:t>
      </w:r>
      <w:r>
        <w:t xml:space="preserve"> </w:t>
      </w:r>
      <w:r>
        <w:t xml:space="preserve">- 5.3.2 Each public holiday worked earns 1 compensatory day off. It must be taken within 30 days of the holiday.</w:t>
      </w:r>
      <w:r>
        <w:t xml:space="preserve"> </w:t>
      </w:r>
      <w:r>
        <w:t xml:space="preserve">- 5.3.3 If the compensatory day is not taken within 30 days because the line manager could not release the employee, the employee is paid 2× daily basic salary for that day instead. The day is not carried forward.</w:t>
      </w:r>
      <w:r>
        <w:t xml:space="preserve"> </w:t>
      </w:r>
      <w:r>
        <w:t xml:space="preserve">- 5.3.4 G3–G5 employees working on a public holiday receive compensatory off only, not payment.</w:t>
      </w:r>
    </w:p>
    <w:p>
      <w:pPr>
        <w:pStyle w:val="BodyText"/>
      </w:pPr>
      <w:r>
        <w:t xml:space="preserve">5.4</w:t>
      </w:r>
      <w:r>
        <w:t xml:space="preserve"> </w:t>
      </w:r>
      <w:r>
        <w:rPr>
          <w:b/>
          <w:bCs/>
        </w:rPr>
        <w:t xml:space="preserve">Public holiday on a non-working day.</w:t>
      </w:r>
      <w:r>
        <w:t xml:space="preserve"> </w:t>
      </w:r>
      <w:r>
        <w:t xml:space="preserve">If a public holiday falls on a Saturday, head office staff receive no substitute day. Operations staff, for whom Saturday is a working day, receive the holiday as normal. No substitute day is given for a public holiday falling on a Sunday.</w:t>
      </w:r>
    </w:p>
    <w:p>
      <w:pPr>
        <w:pStyle w:val="BodyText"/>
      </w:pPr>
      <w:r>
        <w:t xml:space="preserve">5.5</w:t>
      </w:r>
      <w:r>
        <w:t xml:space="preserve"> </w:t>
      </w:r>
      <w:r>
        <w:rPr>
          <w:b/>
          <w:bCs/>
        </w:rPr>
        <w:t xml:space="preserve">Public holidays during leave.</w:t>
      </w:r>
      <w:r>
        <w:t xml:space="preserve"> </w:t>
      </w:r>
      <w:r>
        <w:t xml:space="preserve">A public holiday that falls within an approved period of annual, sick or casual leave is not deducted from leave balance.</w:t>
      </w:r>
    </w:p>
    <w:p>
      <w:pPr>
        <w:pStyle w:val="Heading2"/>
      </w:pPr>
      <w:bookmarkStart w:id="15" w:name="_98403055d3fedacdf6435761e47de0f50d53d48"/>
      <w:r>
        <w:t xml:space="preserve">6. Leave Entitlements</w:t>
      </w:r>
      <w:bookmarkEnd w:id="15"/>
    </w:p>
    <w:p>
      <w:pPr>
        <w:pStyle w:val="FirstParagraph"/>
      </w:pPr>
      <w:r>
        <w:t xml:space="preserve">6.1 Entitlements are per leave year and in working days unless stated otherwise. Employees who join or leave mid-year receive annual leave pro rata, rounded down to the nearest half day.</w:t>
      </w:r>
    </w:p>
    <w:p>
      <w:pPr>
        <w:pStyle w:val="BodyText"/>
      </w:pPr>
      <w:r>
        <w:rPr>
          <w:b/>
          <w:bCs/>
        </w:rPr>
        <w:t xml:space="preserve">Table 6.1 – Leave entitlements</w:t>
      </w:r>
    </w:p>
    <w:tbl>
      <w:tblPr>
        <w:tblStyle w:val="Table"/>
        <w:tblW w:type="pct" w:w="5000"/>
        <w:tblLayout w:type="fixed"/>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pPr>
            <w:r>
              <w:t xml:space="preserve">Leave type</w:t>
            </w:r>
          </w:p>
        </w:tc>
        <w:tc>
          <w:tcPr/>
          <w:p>
            <w:pPr>
              <w:pStyle w:val="Compact"/>
            </w:pPr>
            <w:r>
              <w:t xml:space="preserve">G1–G2</w:t>
            </w:r>
          </w:p>
        </w:tc>
        <w:tc>
          <w:tcPr/>
          <w:p>
            <w:pPr>
              <w:pStyle w:val="Compact"/>
            </w:pPr>
            <w:r>
              <w:t xml:space="preserve">G3</w:t>
            </w:r>
          </w:p>
        </w:tc>
        <w:tc>
          <w:tcPr/>
          <w:p>
            <w:pPr>
              <w:pStyle w:val="Compact"/>
            </w:pPr>
            <w:r>
              <w:t xml:space="preserve">G4–G5</w:t>
            </w:r>
          </w:p>
        </w:tc>
        <w:tc>
          <w:tcPr/>
          <w:p>
            <w:pPr>
              <w:pStyle w:val="Compact"/>
            </w:pPr>
            <w:r>
              <w:t xml:space="preserve">Paid?</w:t>
            </w:r>
          </w:p>
        </w:tc>
        <w:tc>
          <w:tcPr/>
          <w:p>
            <w:pPr>
              <w:pStyle w:val="Compact"/>
            </w:pPr>
            <w:r>
              <w:t xml:space="preserve">Key conditions</w:t>
            </w:r>
          </w:p>
        </w:tc>
      </w:tr>
      <w:tr>
        <w:tc>
          <w:tcPr/>
          <w:p>
            <w:pPr>
              <w:pStyle w:val="Compact"/>
            </w:pPr>
            <w:r>
              <w:t xml:space="preserve">Annual</w:t>
            </w:r>
          </w:p>
        </w:tc>
        <w:tc>
          <w:tcPr/>
          <w:p>
            <w:pPr>
              <w:pStyle w:val="Compact"/>
            </w:pPr>
            <w:r>
              <w:t xml:space="preserve">14</w:t>
            </w:r>
          </w:p>
        </w:tc>
        <w:tc>
          <w:tcPr/>
          <w:p>
            <w:pPr>
              <w:pStyle w:val="Compact"/>
            </w:pPr>
            <w:r>
              <w:t xml:space="preserve">16</w:t>
            </w:r>
          </w:p>
        </w:tc>
        <w:tc>
          <w:tcPr/>
          <w:p>
            <w:pPr>
              <w:pStyle w:val="Compact"/>
            </w:pPr>
            <w:r>
              <w:t xml:space="preserve">20</w:t>
            </w:r>
          </w:p>
        </w:tc>
        <w:tc>
          <w:tcPr/>
          <w:p>
            <w:pPr>
              <w:pStyle w:val="Compact"/>
            </w:pPr>
            <w:r>
              <w:t xml:space="preserve">Yes</w:t>
            </w:r>
          </w:p>
        </w:tc>
        <w:tc>
          <w:tcPr/>
          <w:p>
            <w:pPr>
              <w:pStyle w:val="Compact"/>
            </w:pPr>
            <w:r>
              <w:t xml:space="preserve">Usable after confirmation; carry forward max 7 days, to be used by 31 March</w:t>
            </w:r>
          </w:p>
        </w:tc>
      </w:tr>
      <w:tr>
        <w:tc>
          <w:tcPr/>
          <w:p>
            <w:pPr>
              <w:pStyle w:val="Compact"/>
            </w:pPr>
            <w:r>
              <w:t xml:space="preserve">Casual</w:t>
            </w:r>
          </w:p>
        </w:tc>
        <w:tc>
          <w:tcPr/>
          <w:p>
            <w:pPr>
              <w:pStyle w:val="Compact"/>
            </w:pPr>
            <w:r>
              <w:t xml:space="preserve">8</w:t>
            </w:r>
          </w:p>
        </w:tc>
        <w:tc>
          <w:tcPr/>
          <w:p>
            <w:pPr>
              <w:pStyle w:val="Compact"/>
            </w:pPr>
            <w:r>
              <w:t xml:space="preserve">8</w:t>
            </w:r>
          </w:p>
        </w:tc>
        <w:tc>
          <w:tcPr/>
          <w:p>
            <w:pPr>
              <w:pStyle w:val="Compact"/>
            </w:pPr>
            <w:r>
              <w:t xml:space="preserve">8</w:t>
            </w:r>
          </w:p>
        </w:tc>
        <w:tc>
          <w:tcPr/>
          <w:p>
            <w:pPr>
              <w:pStyle w:val="Compact"/>
            </w:pPr>
            <w:r>
              <w:t xml:space="preserve">Yes</w:t>
            </w:r>
          </w:p>
        </w:tc>
        <w:tc>
          <w:tcPr/>
          <w:p>
            <w:pPr>
              <w:pStyle w:val="Compact"/>
            </w:pPr>
            <w:r>
              <w:t xml:space="preserve">Max 2 consecutive days; half-days allowed</w:t>
            </w:r>
          </w:p>
        </w:tc>
      </w:tr>
      <w:tr>
        <w:tc>
          <w:tcPr/>
          <w:p>
            <w:pPr>
              <w:pStyle w:val="Compact"/>
            </w:pPr>
            <w:r>
              <w:t xml:space="preserve">Sick</w:t>
            </w:r>
          </w:p>
        </w:tc>
        <w:tc>
          <w:tcPr/>
          <w:p>
            <w:pPr>
              <w:pStyle w:val="Compact"/>
            </w:pPr>
            <w:r>
              <w:t xml:space="preserve">10</w:t>
            </w:r>
          </w:p>
        </w:tc>
        <w:tc>
          <w:tcPr/>
          <w:p>
            <w:pPr>
              <w:pStyle w:val="Compact"/>
            </w:pPr>
            <w:r>
              <w:t xml:space="preserve">10</w:t>
            </w:r>
          </w:p>
        </w:tc>
        <w:tc>
          <w:tcPr/>
          <w:p>
            <w:pPr>
              <w:pStyle w:val="Compact"/>
            </w:pPr>
            <w:r>
              <w:t xml:space="preserve">10</w:t>
            </w:r>
          </w:p>
        </w:tc>
        <w:tc>
          <w:tcPr/>
          <w:p>
            <w:pPr>
              <w:pStyle w:val="Compact"/>
            </w:pPr>
            <w:r>
              <w:t xml:space="preserve">Yes</w:t>
            </w:r>
          </w:p>
        </w:tc>
        <w:tc>
          <w:tcPr/>
          <w:p>
            <w:pPr>
              <w:pStyle w:val="Compact"/>
            </w:pPr>
            <w:r>
              <w:t xml:space="preserve">Medical certificate if &gt;2 consecutive days or adjoining a public holiday</w:t>
            </w:r>
          </w:p>
        </w:tc>
      </w:tr>
      <w:tr>
        <w:tc>
          <w:tcPr/>
          <w:p>
            <w:pPr>
              <w:pStyle w:val="Compact"/>
            </w:pPr>
            <w:r>
              <w:t xml:space="preserve">Maternity</w:t>
            </w:r>
          </w:p>
        </w:tc>
        <w:tc>
          <w:tcPr/>
          <w:p>
            <w:pPr>
              <w:pStyle w:val="Compact"/>
            </w:pPr>
            <w:r>
              <w:t xml:space="preserve">90 calendar days</w:t>
            </w:r>
          </w:p>
        </w:tc>
        <w:tc>
          <w:tcPr/>
          <w:p>
            <w:pPr>
              <w:pStyle w:val="Compact"/>
            </w:pPr>
            <w:r>
              <w:t xml:space="preserve">90 calendar days</w:t>
            </w:r>
          </w:p>
        </w:tc>
        <w:tc>
          <w:tcPr/>
          <w:p>
            <w:pPr>
              <w:pStyle w:val="Compact"/>
            </w:pPr>
            <w:r>
              <w:t xml:space="preserve">90 calendar days</w:t>
            </w:r>
          </w:p>
        </w:tc>
        <w:tc>
          <w:tcPr/>
          <w:p>
            <w:pPr>
              <w:pStyle w:val="Compact"/>
            </w:pPr>
            <w:r>
              <w:t xml:space="preserve">Yes*</w:t>
            </w:r>
          </w:p>
        </w:tc>
        <w:tc>
          <w:tcPr/>
          <w:p>
            <w:pPr>
              <w:pStyle w:val="Compact"/>
            </w:pPr>
            <w:r>
              <w:t xml:space="preserve">*Full pay after 6 months’ service; otherwise as required by applicable law</w:t>
            </w:r>
          </w:p>
        </w:tc>
      </w:tr>
      <w:tr>
        <w:tc>
          <w:tcPr/>
          <w:p>
            <w:pPr>
              <w:pStyle w:val="Compact"/>
            </w:pPr>
            <w:r>
              <w:t xml:space="preserve">Paternity</w:t>
            </w:r>
          </w:p>
        </w:tc>
        <w:tc>
          <w:tcPr/>
          <w:p>
            <w:pPr>
              <w:pStyle w:val="Compact"/>
            </w:pPr>
            <w:r>
              <w:t xml:space="preserve">7</w:t>
            </w:r>
          </w:p>
        </w:tc>
        <w:tc>
          <w:tcPr/>
          <w:p>
            <w:pPr>
              <w:pStyle w:val="Compact"/>
            </w:pPr>
            <w:r>
              <w:t xml:space="preserve">7</w:t>
            </w:r>
          </w:p>
        </w:tc>
        <w:tc>
          <w:tcPr/>
          <w:p>
            <w:pPr>
              <w:pStyle w:val="Compact"/>
            </w:pPr>
            <w:r>
              <w:t xml:space="preserve">7</w:t>
            </w:r>
          </w:p>
        </w:tc>
        <w:tc>
          <w:tcPr/>
          <w:p>
            <w:pPr>
              <w:pStyle w:val="Compact"/>
            </w:pPr>
            <w:r>
              <w:t xml:space="preserve">Yes</w:t>
            </w:r>
          </w:p>
        </w:tc>
        <w:tc>
          <w:tcPr/>
          <w:p>
            <w:pPr>
              <w:pStyle w:val="Compact"/>
            </w:pPr>
            <w:r>
              <w:t xml:space="preserve">Within 30 days of birth</w:t>
            </w:r>
          </w:p>
        </w:tc>
      </w:tr>
      <w:tr>
        <w:tc>
          <w:tcPr/>
          <w:p>
            <w:pPr>
              <w:pStyle w:val="Compact"/>
            </w:pPr>
            <w:r>
              <w:t xml:space="preserve">Bereavement</w:t>
            </w:r>
          </w:p>
        </w:tc>
        <w:tc>
          <w:tcPr/>
          <w:p>
            <w:pPr>
              <w:pStyle w:val="Compact"/>
            </w:pPr>
            <w:r>
              <w:t xml:space="preserve">3</w:t>
            </w:r>
          </w:p>
        </w:tc>
        <w:tc>
          <w:tcPr/>
          <w:p>
            <w:pPr>
              <w:pStyle w:val="Compact"/>
            </w:pPr>
            <w:r>
              <w:t xml:space="preserve">3</w:t>
            </w:r>
          </w:p>
        </w:tc>
        <w:tc>
          <w:tcPr/>
          <w:p>
            <w:pPr>
              <w:pStyle w:val="Compact"/>
            </w:pPr>
            <w:r>
              <w:t xml:space="preserve">3</w:t>
            </w:r>
          </w:p>
        </w:tc>
        <w:tc>
          <w:tcPr/>
          <w:p>
            <w:pPr>
              <w:pStyle w:val="Compact"/>
            </w:pPr>
            <w:r>
              <w:t xml:space="preserve">Yes</w:t>
            </w:r>
          </w:p>
        </w:tc>
        <w:tc>
          <w:tcPr/>
          <w:p>
            <w:pPr>
              <w:pStyle w:val="Compact"/>
            </w:pPr>
            <w:r>
              <w:t xml:space="preserve">Immediate family; +2 days if funeral is out of city</w:t>
            </w:r>
          </w:p>
        </w:tc>
      </w:tr>
      <w:tr>
        <w:tc>
          <w:tcPr/>
          <w:p>
            <w:pPr>
              <w:pStyle w:val="Compact"/>
            </w:pPr>
            <w:r>
              <w:t xml:space="preserve">Hajj</w:t>
            </w:r>
          </w:p>
        </w:tc>
        <w:tc>
          <w:tcPr/>
          <w:p>
            <w:pPr>
              <w:pStyle w:val="Compact"/>
            </w:pPr>
            <w:r>
              <w:t xml:space="preserve">30 calendar days</w:t>
            </w:r>
          </w:p>
        </w:tc>
        <w:tc>
          <w:tcPr/>
          <w:p>
            <w:pPr>
              <w:pStyle w:val="Compact"/>
            </w:pPr>
            <w:r>
              <w:t xml:space="preserve">30 calendar days</w:t>
            </w:r>
          </w:p>
        </w:tc>
        <w:tc>
          <w:tcPr/>
          <w:p>
            <w:pPr>
              <w:pStyle w:val="Compact"/>
            </w:pPr>
            <w:r>
              <w:t xml:space="preserve">30 calendar days</w:t>
            </w:r>
          </w:p>
        </w:tc>
        <w:tc>
          <w:tcPr/>
          <w:p>
            <w:pPr>
              <w:pStyle w:val="Compact"/>
            </w:pPr>
            <w:r>
              <w:t xml:space="preserve">See §8.6</w:t>
            </w:r>
          </w:p>
        </w:tc>
        <w:tc>
          <w:tcPr/>
          <w:p>
            <w:pPr>
              <w:pStyle w:val="Compact"/>
            </w:pPr>
            <w:r>
              <w:t xml:space="preserve">Once in service</w:t>
            </w:r>
          </w:p>
        </w:tc>
      </w:tr>
      <w:tr>
        <w:tc>
          <w:tcPr/>
          <w:p>
            <w:pPr>
              <w:pStyle w:val="Compact"/>
            </w:pPr>
            <w:r>
              <w:t xml:space="preserve">Injury-on-duty</w:t>
            </w:r>
          </w:p>
        </w:tc>
        <w:tc>
          <w:tcPr/>
          <w:p>
            <w:pPr>
              <w:pStyle w:val="Compact"/>
            </w:pPr>
            <w:r>
              <w:t xml:space="preserve">Up to 90 calendar days</w:t>
            </w:r>
          </w:p>
        </w:tc>
        <w:tc>
          <w:tcPr/>
          <w:p>
            <w:pPr>
              <w:pStyle w:val="Compact"/>
            </w:pPr>
            <w:r>
              <w:t xml:space="preserve">same</w:t>
            </w:r>
          </w:p>
        </w:tc>
        <w:tc>
          <w:tcPr/>
          <w:p>
            <w:pPr>
              <w:pStyle w:val="Compact"/>
            </w:pPr>
            <w:r>
              <w:t xml:space="preserve">same</w:t>
            </w:r>
          </w:p>
        </w:tc>
        <w:tc>
          <w:tcPr/>
          <w:p>
            <w:pPr>
              <w:pStyle w:val="Compact"/>
            </w:pPr>
            <w:r>
              <w:t xml:space="preserve">Yes</w:t>
            </w:r>
          </w:p>
        </w:tc>
        <w:tc>
          <w:tcPr/>
          <w:p>
            <w:pPr>
              <w:pStyle w:val="Compact"/>
            </w:pPr>
            <w:r>
              <w:t xml:space="preserve">See §8.8</w:t>
            </w:r>
          </w:p>
        </w:tc>
      </w:tr>
      <w:tr>
        <w:tc>
          <w:tcPr/>
          <w:p>
            <w:pPr>
              <w:pStyle w:val="Compact"/>
            </w:pPr>
            <w:r>
              <w:t xml:space="preserve">Unpaid</w:t>
            </w:r>
          </w:p>
        </w:tc>
        <w:tc>
          <w:tcPr/>
          <w:p>
            <w:pPr>
              <w:pStyle w:val="Compact"/>
            </w:pPr>
            <w:r>
              <w:t xml:space="preserve">Up to 30</w:t>
            </w:r>
          </w:p>
        </w:tc>
        <w:tc>
          <w:tcPr/>
          <w:p>
            <w:pPr>
              <w:pStyle w:val="Compact"/>
            </w:pPr>
            <w:r>
              <w:t xml:space="preserve">Up to 30</w:t>
            </w:r>
          </w:p>
        </w:tc>
        <w:tc>
          <w:tcPr/>
          <w:p>
            <w:pPr>
              <w:pStyle w:val="Compact"/>
            </w:pPr>
            <w:r>
              <w:t xml:space="preserve">Up to 30</w:t>
            </w:r>
          </w:p>
        </w:tc>
        <w:tc>
          <w:tcPr/>
          <w:p>
            <w:pPr>
              <w:pStyle w:val="Compact"/>
            </w:pPr>
            <w:r>
              <w:t xml:space="preserve">No</w:t>
            </w:r>
          </w:p>
        </w:tc>
        <w:tc>
          <w:tcPr/>
          <w:p>
            <w:pPr>
              <w:pStyle w:val="Compact"/>
            </w:pPr>
            <w:r>
              <w:t xml:space="preserve">COO approval</w:t>
            </w:r>
          </w:p>
        </w:tc>
      </w:tr>
      <w:tr>
        <w:tc>
          <w:tcPr/>
          <w:p>
            <w:pPr>
              <w:pStyle w:val="Compact"/>
            </w:pPr>
            <w:r>
              <w:t xml:space="preserve">Compensatory off</w:t>
            </w:r>
          </w:p>
        </w:tc>
        <w:tc>
          <w:tcPr/>
          <w:p>
            <w:pPr>
              <w:pStyle w:val="Compact"/>
            </w:pPr>
            <w:r>
              <w:t xml:space="preserve">1 per public holiday worked</w:t>
            </w:r>
          </w:p>
        </w:tc>
        <w:tc>
          <w:tcPr/>
          <w:p>
            <w:pPr>
              <w:pStyle w:val="Compact"/>
            </w:pPr>
            <w:r>
              <w:t xml:space="preserve">—</w:t>
            </w:r>
          </w:p>
        </w:tc>
        <w:tc>
          <w:tcPr/>
          <w:p>
            <w:pPr>
              <w:pStyle w:val="Compact"/>
            </w:pPr>
            <w:r>
              <w:t xml:space="preserve">—</w:t>
            </w:r>
          </w:p>
        </w:tc>
        <w:tc>
          <w:tcPr/>
          <w:p>
            <w:pPr>
              <w:pStyle w:val="Compact"/>
            </w:pPr>
            <w:r>
              <w:t xml:space="preserve">Yes</w:t>
            </w:r>
          </w:p>
        </w:tc>
        <w:tc>
          <w:tcPr/>
          <w:p>
            <w:pPr>
              <w:pStyle w:val="Compact"/>
            </w:pPr>
            <w:r>
              <w:t xml:space="preserve">Operations staff G1–G2; see §5.3</w:t>
            </w:r>
          </w:p>
        </w:tc>
      </w:tr>
    </w:tbl>
    <w:p>
      <w:pPr>
        <w:pStyle w:val="Heading2"/>
      </w:pPr>
      <w:bookmarkStart w:id="16" w:name="_5163f950ec85fdca561c8fcc9032dfb14becc5c"/>
      <w:r>
        <w:t xml:space="preserve">7. Applying for Leave</w:t>
      </w:r>
      <w:bookmarkEnd w:id="16"/>
    </w:p>
    <w:p>
      <w:pPr>
        <w:pStyle w:val="FirstParagraph"/>
      </w:pPr>
      <w:r>
        <w:t xml:space="preserve">7.1</w:t>
      </w:r>
      <w:r>
        <w:t xml:space="preserve"> </w:t>
      </w:r>
      <w:r>
        <w:rPr>
          <w:b/>
          <w:bCs/>
        </w:rPr>
        <w:t xml:space="preserve">Form.</w:t>
      </w:r>
      <w:r>
        <w:t xml:space="preserve"> </w:t>
      </w:r>
      <w:r>
        <w:t xml:space="preserve">All leave is applied for on Form HR-01 (Leave Application) through HRIS, or on paper where HRIS is unavailable. Extended or unpaid leave also requires Form HR-07.</w:t>
      </w:r>
    </w:p>
    <w:p>
      <w:pPr>
        <w:pStyle w:val="BodyText"/>
      </w:pPr>
      <w:r>
        <w:t xml:space="preserve">7.2</w:t>
      </w:r>
      <w:r>
        <w:t xml:space="preserve"> </w:t>
      </w:r>
      <w:r>
        <w:rPr>
          <w:b/>
          <w:bCs/>
        </w:rPr>
        <w:t xml:space="preserve">Notice periods</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Leave</w:t>
            </w:r>
          </w:p>
        </w:tc>
        <w:tc>
          <w:tcPr/>
          <w:p>
            <w:pPr>
              <w:pStyle w:val="Compact"/>
            </w:pPr>
            <w:r>
              <w:t xml:space="preserve">Minimum notice</w:t>
            </w:r>
          </w:p>
        </w:tc>
      </w:tr>
      <w:tr>
        <w:tc>
          <w:tcPr/>
          <w:p>
            <w:pPr>
              <w:pStyle w:val="Compact"/>
            </w:pPr>
            <w:r>
              <w:t xml:space="preserve">Annual leave, 1–5 days</w:t>
            </w:r>
          </w:p>
        </w:tc>
        <w:tc>
          <w:tcPr/>
          <w:p>
            <w:pPr>
              <w:pStyle w:val="Compact"/>
            </w:pPr>
            <w:r>
              <w:t xml:space="preserve">7 calendar days</w:t>
            </w:r>
          </w:p>
        </w:tc>
      </w:tr>
      <w:tr>
        <w:tc>
          <w:tcPr/>
          <w:p>
            <w:pPr>
              <w:pStyle w:val="Compact"/>
            </w:pPr>
            <w:r>
              <w:t xml:space="preserve">Annual leave, 6 days or more</w:t>
            </w:r>
          </w:p>
        </w:tc>
        <w:tc>
          <w:tcPr/>
          <w:p>
            <w:pPr>
              <w:pStyle w:val="Compact"/>
            </w:pPr>
            <w:r>
              <w:t xml:space="preserve">14 calendar days</w:t>
            </w:r>
          </w:p>
        </w:tc>
      </w:tr>
      <w:tr>
        <w:tc>
          <w:tcPr/>
          <w:p>
            <w:pPr>
              <w:pStyle w:val="Compact"/>
            </w:pPr>
            <w:r>
              <w:t xml:space="preserve">Casual leave</w:t>
            </w:r>
          </w:p>
        </w:tc>
        <w:tc>
          <w:tcPr/>
          <w:p>
            <w:pPr>
              <w:pStyle w:val="Compact"/>
            </w:pPr>
            <w:r>
              <w:t xml:space="preserve">Same day, by phone to line manager before 10:00 (Shift B: before 13:00)</w:t>
            </w:r>
          </w:p>
        </w:tc>
      </w:tr>
      <w:tr>
        <w:tc>
          <w:tcPr/>
          <w:p>
            <w:pPr>
              <w:pStyle w:val="Compact"/>
            </w:pPr>
            <w:r>
              <w:t xml:space="preserve">Sick leave</w:t>
            </w:r>
          </w:p>
        </w:tc>
        <w:tc>
          <w:tcPr/>
          <w:p>
            <w:pPr>
              <w:pStyle w:val="Compact"/>
            </w:pPr>
            <w:r>
              <w:t xml:space="preserve">Same day, by phone to line manager before shift start</w:t>
            </w:r>
          </w:p>
        </w:tc>
      </w:tr>
      <w:tr>
        <w:tc>
          <w:tcPr/>
          <w:p>
            <w:pPr>
              <w:pStyle w:val="Compact"/>
            </w:pPr>
            <w:r>
              <w:t xml:space="preserve">Paternity</w:t>
            </w:r>
          </w:p>
        </w:tc>
        <w:tc>
          <w:tcPr/>
          <w:p>
            <w:pPr>
              <w:pStyle w:val="Compact"/>
            </w:pPr>
            <w:r>
              <w:t xml:space="preserve">14 calendar days before expected date of birth, where possible</w:t>
            </w:r>
          </w:p>
        </w:tc>
      </w:tr>
      <w:tr>
        <w:tc>
          <w:tcPr/>
          <w:p>
            <w:pPr>
              <w:pStyle w:val="Compact"/>
            </w:pPr>
            <w:r>
              <w:t xml:space="preserve">Unpaid / Hajj</w:t>
            </w:r>
          </w:p>
        </w:tc>
        <w:tc>
          <w:tcPr/>
          <w:p>
            <w:pPr>
              <w:pStyle w:val="Compact"/>
            </w:pPr>
            <w:r>
              <w:t xml:space="preserve">60 calendar days</w:t>
            </w:r>
          </w:p>
        </w:tc>
      </w:tr>
    </w:tbl>
    <w:p>
      <w:pPr>
        <w:pStyle w:val="FirstParagraph"/>
      </w:pPr>
      <w:r>
        <w:t xml:space="preserve">7.3</w:t>
      </w:r>
      <w:r>
        <w:t xml:space="preserve"> </w:t>
      </w:r>
      <w:r>
        <w:rPr>
          <w:b/>
          <w:bCs/>
        </w:rPr>
        <w:t xml:space="preserve">Drivers</w:t>
      </w:r>
      <w:r>
        <w:t xml:space="preserve"> </w:t>
      </w:r>
      <w:r>
        <w:t xml:space="preserve">must additionally inform the Dispatch Control Room (ext. 222) at least 12 hours before their next scheduled dispatch. A driver already on a trip may not start leave until the vehicle has returned to the Lahore yard or a relief driver has taken over, as arranged by the Dispatch Supervisor.</w:t>
      </w:r>
    </w:p>
    <w:p>
      <w:pPr>
        <w:pStyle w:val="BodyText"/>
      </w:pPr>
      <w:r>
        <w:t xml:space="preserve">7.4</w:t>
      </w:r>
      <w:r>
        <w:t xml:space="preserve"> </w:t>
      </w:r>
      <w:r>
        <w:rPr>
          <w:b/>
          <w:bCs/>
        </w:rPr>
        <w:t xml:space="preserve">Approval authority</w:t>
      </w:r>
    </w:p>
    <w:p>
      <w:pPr>
        <w:pStyle w:val="BodyText"/>
      </w:pPr>
      <w:r>
        <w:rPr>
          <w:b/>
          <w:bCs/>
        </w:rPr>
        <w:t xml:space="preserve">Table 7.4 – Leave approval matrix</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Duration / type</w:t>
            </w:r>
          </w:p>
        </w:tc>
        <w:tc>
          <w:tcPr/>
          <w:p>
            <w:pPr>
              <w:pStyle w:val="Compact"/>
            </w:pPr>
            <w:r>
              <w:t xml:space="preserve">Approver</w:t>
            </w:r>
          </w:p>
        </w:tc>
      </w:tr>
      <w:tr>
        <w:tc>
          <w:tcPr/>
          <w:p>
            <w:pPr>
              <w:pStyle w:val="Compact"/>
            </w:pPr>
            <w:r>
              <w:t xml:space="preserve">Up to 5 working days</w:t>
            </w:r>
          </w:p>
        </w:tc>
        <w:tc>
          <w:tcPr/>
          <w:p>
            <w:pPr>
              <w:pStyle w:val="Compact"/>
            </w:pPr>
            <w:r>
              <w:t xml:space="preserve">Line manager</w:t>
            </w:r>
          </w:p>
        </w:tc>
      </w:tr>
      <w:tr>
        <w:tc>
          <w:tcPr/>
          <w:p>
            <w:pPr>
              <w:pStyle w:val="Compact"/>
            </w:pPr>
            <w:r>
              <w:t xml:space="preserve">6 – 15 working days</w:t>
            </w:r>
          </w:p>
        </w:tc>
        <w:tc>
          <w:tcPr/>
          <w:p>
            <w:pPr>
              <w:pStyle w:val="Compact"/>
            </w:pPr>
            <w:r>
              <w:t xml:space="preserve">Department manager</w:t>
            </w:r>
          </w:p>
        </w:tc>
      </w:tr>
      <w:tr>
        <w:tc>
          <w:tcPr/>
          <w:p>
            <w:pPr>
              <w:pStyle w:val="Compact"/>
            </w:pPr>
            <w:r>
              <w:t xml:space="preserve">More than 15 consecutive working days</w:t>
            </w:r>
          </w:p>
        </w:tc>
        <w:tc>
          <w:tcPr/>
          <w:p>
            <w:pPr>
              <w:pStyle w:val="Compact"/>
            </w:pPr>
            <w:r>
              <w:t xml:space="preserve">COO</w:t>
            </w:r>
          </w:p>
        </w:tc>
      </w:tr>
      <w:tr>
        <w:tc>
          <w:tcPr/>
          <w:p>
            <w:pPr>
              <w:pStyle w:val="Compact"/>
            </w:pPr>
            <w:r>
              <w:t xml:space="preserve">Any unpaid leave</w:t>
            </w:r>
          </w:p>
        </w:tc>
        <w:tc>
          <w:tcPr/>
          <w:p>
            <w:pPr>
              <w:pStyle w:val="Compact"/>
            </w:pPr>
            <w:r>
              <w:t xml:space="preserve">COO</w:t>
            </w:r>
          </w:p>
        </w:tc>
      </w:tr>
      <w:tr>
        <w:tc>
          <w:tcPr/>
          <w:p>
            <w:pPr>
              <w:pStyle w:val="Compact"/>
            </w:pPr>
            <w:r>
              <w:t xml:space="preserve">Leave of any G4 manager</w:t>
            </w:r>
          </w:p>
        </w:tc>
        <w:tc>
          <w:tcPr/>
          <w:p>
            <w:pPr>
              <w:pStyle w:val="Compact"/>
            </w:pPr>
            <w:r>
              <w:t xml:space="preserve">COO</w:t>
            </w:r>
          </w:p>
        </w:tc>
      </w:tr>
      <w:tr>
        <w:tc>
          <w:tcPr/>
          <w:p>
            <w:pPr>
              <w:pStyle w:val="Compact"/>
            </w:pPr>
            <w:r>
              <w:t xml:space="preserve">Leave of the HR Manager</w:t>
            </w:r>
          </w:p>
        </w:tc>
        <w:tc>
          <w:tcPr/>
          <w:p>
            <w:pPr>
              <w:pStyle w:val="Compact"/>
            </w:pPr>
            <w:r>
              <w:t xml:space="preserve">COO</w:t>
            </w:r>
          </w:p>
        </w:tc>
      </w:tr>
      <w:tr>
        <w:tc>
          <w:tcPr/>
          <w:p>
            <w:pPr>
              <w:pStyle w:val="Compact"/>
            </w:pPr>
            <w:r>
              <w:t xml:space="preserve">Leave of the COO</w:t>
            </w:r>
          </w:p>
        </w:tc>
        <w:tc>
          <w:tcPr/>
          <w:p>
            <w:pPr>
              <w:pStyle w:val="Compact"/>
            </w:pPr>
            <w:r>
              <w:t xml:space="preserve">CEO</w:t>
            </w:r>
          </w:p>
        </w:tc>
      </w:tr>
    </w:tbl>
    <w:p>
      <w:pPr>
        <w:pStyle w:val="FirstParagraph"/>
      </w:pPr>
      <w:r>
        <w:t xml:space="preserve">7.5</w:t>
      </w:r>
      <w:r>
        <w:t xml:space="preserve"> </w:t>
      </w:r>
      <w:r>
        <w:rPr>
          <w:b/>
          <w:bCs/>
        </w:rPr>
        <w:t xml:space="preserve">Response time.</w:t>
      </w:r>
      <w:r>
        <w:t xml:space="preserve"> </w:t>
      </w:r>
      <w:r>
        <w:t xml:space="preserve">Approvers must respond on HRIS within 3 working days. Requests not answered within 3 working days are escalated automatically to the next approver in Table 7.4.</w:t>
      </w:r>
    </w:p>
    <w:p>
      <w:pPr>
        <w:pStyle w:val="BodyText"/>
      </w:pPr>
      <w:r>
        <w:t xml:space="preserve">7.6</w:t>
      </w:r>
      <w:r>
        <w:t xml:space="preserve"> </w:t>
      </w:r>
      <w:r>
        <w:rPr>
          <w:b/>
          <w:bCs/>
        </w:rPr>
        <w:t xml:space="preserve">Refusal and cancellation</w:t>
      </w:r>
      <w:r>
        <w:t xml:space="preserve"> </w:t>
      </w:r>
      <w:r>
        <w:t xml:space="preserve">- 7.6.1 Leave may be refused for operational reasons. The reason must be recorded in HRIS.</w:t>
      </w:r>
      <w:r>
        <w:t xml:space="preserve"> </w:t>
      </w:r>
      <w:r>
        <w:t xml:space="preserve">- 7.6.2 Approved leave may be cancelled by the Company only in an emergency. The Company will reimburse any non-refundable travel costs the employee can document, on Form FIN-01 under IFL-FIN-007.</w:t>
      </w:r>
      <w:r>
        <w:t xml:space="preserve"> </w:t>
      </w:r>
      <w:r>
        <w:t xml:space="preserve">- 7.6.3 Employees cancel or amend their own approved leave using Form HR-02.</w:t>
      </w:r>
    </w:p>
    <w:p>
      <w:pPr>
        <w:pStyle w:val="BodyText"/>
      </w:pPr>
      <w:r>
        <w:t xml:space="preserve">7.7</w:t>
      </w:r>
      <w:r>
        <w:t xml:space="preserve"> </w:t>
      </w:r>
      <w:r>
        <w:rPr>
          <w:b/>
          <w:bCs/>
        </w:rPr>
        <w:t xml:space="preserve">Peak blackout periods.</w:t>
      </w:r>
      <w:r>
        <w:t xml:space="preserve"> </w:t>
      </w:r>
      <w:r>
        <w:t xml:space="preserve">For warehouse and fleet staff, annual leave of more than 3 consecutive days is not normally approved during the 10 working days before Eid ul-Fitr and Eid ul-Adha, and from 15 to 31 December, due to customer peaks. Department managers may approve exceptions.</w:t>
      </w:r>
    </w:p>
    <w:p>
      <w:pPr>
        <w:pStyle w:val="Heading2"/>
      </w:pPr>
      <w:bookmarkStart w:id="17" w:name="_a2484e24f19faf485872c702bc8734552ad2a62"/>
      <w:r>
        <w:t xml:space="preserve">8. Rules for Specific Leave Types</w:t>
      </w:r>
      <w:bookmarkEnd w:id="17"/>
    </w:p>
    <w:p>
      <w:pPr>
        <w:pStyle w:val="FirstParagraph"/>
      </w:pPr>
      <w:r>
        <w:t xml:space="preserve">8.1</w:t>
      </w:r>
      <w:r>
        <w:t xml:space="preserve"> </w:t>
      </w:r>
      <w:r>
        <w:rPr>
          <w:b/>
          <w:bCs/>
        </w:rPr>
        <w:t xml:space="preserve">Annual leave</w:t>
      </w:r>
      <w:r>
        <w:t xml:space="preserve"> </w:t>
      </w:r>
      <w:r>
        <w:t xml:space="preserve">- 8.1.1 Annual leave accrues monthly from the date of joining but may only be taken after confirmation.</w:t>
      </w:r>
      <w:r>
        <w:t xml:space="preserve"> </w:t>
      </w:r>
      <w:r>
        <w:t xml:space="preserve">- 8.1.2 Up to 7 unused days may be carried into the next leave year. Carried-forward days must be used by 31 March; any unused balance lapses on 1 April.</w:t>
      </w:r>
      <w:r>
        <w:t xml:space="preserve"> </w:t>
      </w:r>
      <w:r>
        <w:t xml:space="preserve">- 8.1.3 Annual leave cannot be combined with casual leave in the same continuous absence.</w:t>
      </w:r>
    </w:p>
    <w:p>
      <w:pPr>
        <w:pStyle w:val="BodyText"/>
      </w:pPr>
      <w:r>
        <w:t xml:space="preserve">8.2</w:t>
      </w:r>
      <w:r>
        <w:t xml:space="preserve"> </w:t>
      </w:r>
      <w:r>
        <w:rPr>
          <w:b/>
          <w:bCs/>
        </w:rPr>
        <w:t xml:space="preserve">Casual leave</w:t>
      </w:r>
      <w:r>
        <w:t xml:space="preserve"> </w:t>
      </w:r>
      <w:r>
        <w:t xml:space="preserve">- 8.2.1 Casual leave is for short, unplanned personal needs. No more than 2 consecutive days may be taken.</w:t>
      </w:r>
      <w:r>
        <w:t xml:space="preserve"> </w:t>
      </w:r>
      <w:r>
        <w:t xml:space="preserve">- 8.2.2</w:t>
      </w:r>
      <w:r>
        <w:t xml:space="preserve"> </w:t>
      </w:r>
      <w:r>
        <w:rPr>
          <w:b/>
          <w:bCs/>
        </w:rPr>
        <w:t xml:space="preserve">Half-day casual leave</w:t>
      </w:r>
      <w:r>
        <w:t xml:space="preserve"> </w:t>
      </w:r>
      <w:r>
        <w:t xml:space="preserve">is allowed. For head office staff, a morning half-day ends at 13:00 and an afternoon half-day starts at 14:00. For warehouse shift staff, a half-day is the first or last 4 hours of the shift.</w:t>
      </w:r>
      <w:r>
        <w:t xml:space="preserve"> </w:t>
      </w:r>
      <w:r>
        <w:t xml:space="preserve">- 8.2.3 Half-day casual leave is not available during Ramadan reduced hours.</w:t>
      </w:r>
      <w:r>
        <w:t xml:space="preserve"> </w:t>
      </w:r>
      <w:r>
        <w:t xml:space="preserve">- 8.2.4 Casual leave does not carry forward and is not encashable.</w:t>
      </w:r>
    </w:p>
    <w:p>
      <w:pPr>
        <w:pStyle w:val="BodyText"/>
      </w:pPr>
      <w:r>
        <w:t xml:space="preserve">8.3</w:t>
      </w:r>
      <w:r>
        <w:t xml:space="preserve"> </w:t>
      </w:r>
      <w:r>
        <w:rPr>
          <w:b/>
          <w:bCs/>
        </w:rPr>
        <w:t xml:space="preserve">Emergency leave.</w:t>
      </w:r>
      <w:r>
        <w:t xml:space="preserve"> </w:t>
      </w:r>
      <w:r>
        <w:t xml:space="preserve">In a genuine emergency (for example, hospitalisation of an immediate family member), an employee may be absent without prior approval if the line manager is informed by phone or message as soon as practical. Form HR-01 must be submitted within 2 working days of return; otherwise the absence is treated as unauthorised under §4.6. Emergency leave is deducted from casual leave first, then annual leave, then is unpaid.</w:t>
      </w:r>
    </w:p>
    <w:p>
      <w:pPr>
        <w:pStyle w:val="BodyText"/>
      </w:pPr>
      <w:r>
        <w:t xml:space="preserve">8.4</w:t>
      </w:r>
      <w:r>
        <w:t xml:space="preserve"> </w:t>
      </w:r>
      <w:r>
        <w:rPr>
          <w:b/>
          <w:bCs/>
        </w:rPr>
        <w:t xml:space="preserve">Sick leave</w:t>
      </w:r>
      <w:r>
        <w:t xml:space="preserve"> </w:t>
      </w:r>
      <w:r>
        <w:t xml:space="preserve">- 8.4.1 A medical certificate from a registered medical practitioner is required in the cases listed in Table 6.1.</w:t>
      </w:r>
      <w:r>
        <w:t xml:space="preserve"> </w:t>
      </w:r>
      <w:r>
        <w:t xml:space="preserve">- 8.4.2 Sick leave beyond 10 days is deducted from annual leave, then becomes unpaid.</w:t>
      </w:r>
      <w:r>
        <w:t xml:space="preserve"> </w:t>
      </w:r>
      <w:r>
        <w:t xml:space="preserve">- 8.4.3 Illness lasting more than 30 consecutive calendar days requires Form HR-07 and may require a fitness assessment before return.</w:t>
      </w:r>
      <w:r>
        <w:t xml:space="preserve"> </w:t>
      </w:r>
      <w:r>
        <w:t xml:space="preserve">- 8.4.4 Drivers and forklift operators returning from sick leave of more than 5 consecutive days must obtain a fitness-to-work note before resuming driving or operating equipment (see IFL-OPS-003 §2.6 and IFL-SAF-004 §3.2).</w:t>
      </w:r>
    </w:p>
    <w:p>
      <w:pPr>
        <w:pStyle w:val="BodyText"/>
      </w:pPr>
      <w:r>
        <w:t xml:space="preserve">8.5</w:t>
      </w:r>
      <w:r>
        <w:t xml:space="preserve"> </w:t>
      </w:r>
      <w:r>
        <w:rPr>
          <w:b/>
          <w:bCs/>
        </w:rPr>
        <w:t xml:space="preserve">Maternity and paternity leave</w:t>
      </w:r>
      <w:r>
        <w:t xml:space="preserve"> </w:t>
      </w:r>
      <w:r>
        <w:t xml:space="preserve">- 8.5.1 Maternity leave may begin up to 6 weeks before the expected date of delivery.</w:t>
      </w:r>
      <w:r>
        <w:t xml:space="preserve"> </w:t>
      </w:r>
      <w:r>
        <w:t xml:space="preserve">- 8.5.2 Employees with less than 6 months’ service at the start of maternity leave receive pay as required by applicable law; the remaining period is unpaid.</w:t>
      </w:r>
      <w:r>
        <w:t xml:space="preserve"> </w:t>
      </w:r>
      <w:r>
        <w:t xml:space="preserve">- 8.5.3 Paternity leave is available to confirmed employees only. Probationary employees may take up to 3 days of paternity leave, which is deducted from casual leave.</w:t>
      </w:r>
    </w:p>
    <w:p>
      <w:pPr>
        <w:pStyle w:val="BodyText"/>
      </w:pPr>
      <w:r>
        <w:t xml:space="preserve">8.6</w:t>
      </w:r>
      <w:r>
        <w:t xml:space="preserve"> </w:t>
      </w:r>
      <w:r>
        <w:rPr>
          <w:b/>
          <w:bCs/>
        </w:rPr>
        <w:t xml:space="preserve">Hajj leave</w:t>
      </w:r>
      <w:r>
        <w:t xml:space="preserve"> </w:t>
      </w:r>
      <w:r>
        <w:t xml:space="preserve">- 8.6.1 Hajj leave is granted once during an employee’s service with the Company, for up to 30 calendar days.</w:t>
      </w:r>
      <w:r>
        <w:t xml:space="preserve"> </w:t>
      </w:r>
      <w:r>
        <w:t xml:space="preserve">- 8.6.2 Hajj leave is paid only for employees with at least 3 years’ continuous service on the first day of leave. Others may take it as unpaid leave.</w:t>
      </w:r>
      <w:r>
        <w:t xml:space="preserve"> </w:t>
      </w:r>
      <w:r>
        <w:t xml:space="preserve">- 8.6.3 Umrah is not covered by Hajj leave; employees use annual leave.</w:t>
      </w:r>
    </w:p>
    <w:p>
      <w:pPr>
        <w:pStyle w:val="BodyText"/>
      </w:pPr>
      <w:r>
        <w:t xml:space="preserve">8.7</w:t>
      </w:r>
      <w:r>
        <w:t xml:space="preserve"> </w:t>
      </w:r>
      <w:r>
        <w:rPr>
          <w:b/>
          <w:bCs/>
        </w:rPr>
        <w:t xml:space="preserve">Bereavement leave.</w:t>
      </w:r>
      <w:r>
        <w:t xml:space="preserve"> </w:t>
      </w:r>
      <w:r>
        <w:t xml:space="preserve">3 working days on the death of an immediate family member, plus 2 additional days if the funeral is held outside the employee’s city of work. For other relatives, casual leave applies.</w:t>
      </w:r>
    </w:p>
    <w:p>
      <w:pPr>
        <w:pStyle w:val="BodyText"/>
      </w:pPr>
      <w:r>
        <w:t xml:space="preserve">8.8</w:t>
      </w:r>
      <w:r>
        <w:t xml:space="preserve"> </w:t>
      </w:r>
      <w:r>
        <w:rPr>
          <w:b/>
          <w:bCs/>
        </w:rPr>
        <w:t xml:space="preserve">Injury-on-duty leave</w:t>
      </w:r>
      <w:r>
        <w:t xml:space="preserve"> </w:t>
      </w:r>
      <w:r>
        <w:t xml:space="preserve">- 8.8.1 An employee unable to work due to an injury sustained while performing Company duties receives full pay for up to 90 calendar days per incident. This does not reduce sick leave.</w:t>
      </w:r>
      <w:r>
        <w:t xml:space="preserve"> </w:t>
      </w:r>
      <w:r>
        <w:t xml:space="preserve">- 8.8.2 The injury must have been reported through the Accident &amp; Incident Reporting Procedure (IFL-SAF-005 §5), including Form INC-01 within 24 hours. Injuries not reported within 7 days of occurrence are treated as ordinary sick leave unless the HSE Manager confirms there was a valid reason for the delay.</w:t>
      </w:r>
    </w:p>
    <w:p>
      <w:pPr>
        <w:pStyle w:val="BodyText"/>
      </w:pPr>
      <w:r>
        <w:t xml:space="preserve">8.9</w:t>
      </w:r>
      <w:r>
        <w:t xml:space="preserve"> </w:t>
      </w:r>
      <w:r>
        <w:rPr>
          <w:b/>
          <w:bCs/>
        </w:rPr>
        <w:t xml:space="preserve">Unpaid leave.</w:t>
      </w:r>
      <w:r>
        <w:t xml:space="preserve"> </w:t>
      </w:r>
      <w:r>
        <w:t xml:space="preserve">Up to 30 working days per leave year, on Forms HR-01 and HR-07, with COO approval. Unpaid leave above 10 days in a month delays annual leave accrual for that month.</w:t>
      </w:r>
    </w:p>
    <w:p>
      <w:pPr>
        <w:pStyle w:val="Heading2"/>
      </w:pPr>
      <w:bookmarkStart w:id="18" w:name="_overtime"/>
      <w:r>
        <w:t xml:space="preserve">9. Overtime</w:t>
      </w:r>
      <w:bookmarkEnd w:id="18"/>
    </w:p>
    <w:p>
      <w:pPr>
        <w:pStyle w:val="FirstParagraph"/>
      </w:pPr>
      <w:r>
        <w:t xml:space="preserve">9.1</w:t>
      </w:r>
      <w:r>
        <w:t xml:space="preserve"> </w:t>
      </w:r>
      <w:r>
        <w:rPr>
          <w:b/>
          <w:bCs/>
        </w:rPr>
        <w:t xml:space="preserve">Eligibility.</w:t>
      </w:r>
      <w:r>
        <w:t xml:space="preserve"> </w:t>
      </w:r>
      <w:r>
        <w:t xml:space="preserve">Overtime applies to G1–G2 employees only. G3–G5 employees are not paid overtime.</w:t>
      </w:r>
    </w:p>
    <w:p>
      <w:pPr>
        <w:pStyle w:val="BodyText"/>
      </w:pPr>
      <w:r>
        <w:t xml:space="preserve">9.2</w:t>
      </w:r>
      <w:r>
        <w:t xml:space="preserve"> </w:t>
      </w:r>
      <w:r>
        <w:rPr>
          <w:b/>
          <w:bCs/>
        </w:rPr>
        <w:t xml:space="preserve">Pre-approval.</w:t>
      </w:r>
      <w:r>
        <w:t xml:space="preserve"> </w:t>
      </w:r>
      <w:r>
        <w:t xml:space="preserve">Overtime must be pre-approved on Form HR-04 by the line manager. Unapproved overtime is not paid, except where an emergency is later confirmed in writing by the department manager within 2 working days.</w:t>
      </w:r>
    </w:p>
    <w:p>
      <w:pPr>
        <w:pStyle w:val="BodyText"/>
      </w:pPr>
      <w:r>
        <w:t xml:space="preserve">9.3</w:t>
      </w:r>
      <w:r>
        <w:t xml:space="preserve"> </w:t>
      </w:r>
      <w:r>
        <w:rPr>
          <w:b/>
          <w:bCs/>
        </w:rPr>
        <w:t xml:space="preserve">Rate and limits</w:t>
      </w:r>
      <w:r>
        <w:t xml:space="preserve"> </w:t>
      </w:r>
      <w:r>
        <w:t xml:space="preserve">- 9.3.1 Overtime is paid at 2× hourly basic salary.</w:t>
      </w:r>
      <w:r>
        <w:t xml:space="preserve"> </w:t>
      </w:r>
      <w:r>
        <w:t xml:space="preserve">- 9.3.2 Hourly basic salary is calculated as monthly basic salary ÷ 208 for Monday–Saturday staff, and ÷ 173 for Monday–Friday staff.</w:t>
      </w:r>
      <w:r>
        <w:t xml:space="preserve"> </w:t>
      </w:r>
      <w:r>
        <w:t xml:space="preserve">- 9.3.3 Overtime is limited to 2 hours per day and 12 hours per week.</w:t>
      </w:r>
      <w:r>
        <w:t xml:space="preserve"> </w:t>
      </w:r>
      <w:r>
        <w:t xml:space="preserve">- 9.3.4 An overtime meal allowance of PKR 400 is paid for each occasion of 2 or more hours’ overtime.</w:t>
      </w:r>
    </w:p>
    <w:p>
      <w:pPr>
        <w:pStyle w:val="BodyText"/>
      </w:pPr>
      <w:r>
        <w:t xml:space="preserve">9.4</w:t>
      </w:r>
      <w:r>
        <w:t xml:space="preserve"> </w:t>
      </w:r>
      <w:r>
        <w:rPr>
          <w:b/>
          <w:bCs/>
        </w:rPr>
        <w:t xml:space="preserve">Drivers.</w:t>
      </w:r>
      <w:r>
        <w:t xml:space="preserve"> </w:t>
      </w:r>
      <w:r>
        <w:t xml:space="preserve">Driver overtime applies only to non-driving duty (for example, waiting at a customer site or yard standby) recorded on Form FLT-02. Overtime may never be used to exceed the driving limits in IFL-OPS-003 §4.</w:t>
      </w:r>
    </w:p>
    <w:p>
      <w:pPr>
        <w:pStyle w:val="Heading2"/>
      </w:pPr>
      <w:bookmarkStart w:id="19" w:name="_ed7d53994b4c86c3f8a7527578682a86c899b26"/>
      <w:r>
        <w:t xml:space="preserve">10. Allowances and Benefits</w:t>
      </w:r>
      <w:bookmarkEnd w:id="19"/>
    </w:p>
    <w:p>
      <w:pPr>
        <w:pStyle w:val="FirstParagraph"/>
      </w:pPr>
      <w:r>
        <w:rPr>
          <w:b/>
          <w:bCs/>
        </w:rPr>
        <w:t xml:space="preserve">Table 10.1 – Monthly and trip allowances (PKR)</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Allowance</w:t>
            </w:r>
          </w:p>
        </w:tc>
        <w:tc>
          <w:tcPr/>
          <w:p>
            <w:pPr>
              <w:pStyle w:val="Compact"/>
            </w:pPr>
            <w:r>
              <w:t xml:space="preserve">Amount</w:t>
            </w:r>
          </w:p>
        </w:tc>
        <w:tc>
          <w:tcPr/>
          <w:p>
            <w:pPr>
              <w:pStyle w:val="Compact"/>
            </w:pPr>
            <w:r>
              <w:t xml:space="preserve">Eligibility</w:t>
            </w:r>
          </w:p>
        </w:tc>
      </w:tr>
      <w:tr>
        <w:tc>
          <w:tcPr/>
          <w:p>
            <w:pPr>
              <w:pStyle w:val="Compact"/>
            </w:pPr>
            <w:r>
              <w:t xml:space="preserve">Out-of-station daily allowance</w:t>
            </w:r>
          </w:p>
        </w:tc>
        <w:tc>
          <w:tcPr/>
          <w:p>
            <w:pPr>
              <w:pStyle w:val="Compact"/>
            </w:pPr>
            <w:r>
              <w:t xml:space="preserve">2,500 per day</w:t>
            </w:r>
          </w:p>
        </w:tc>
        <w:tc>
          <w:tcPr/>
          <w:p>
            <w:pPr>
              <w:pStyle w:val="Compact"/>
            </w:pPr>
            <w:r>
              <w:t xml:space="preserve">Drivers on trips more than 150 km from the Lahore base</w:t>
            </w:r>
          </w:p>
        </w:tc>
      </w:tr>
      <w:tr>
        <w:tc>
          <w:tcPr/>
          <w:p>
            <w:pPr>
              <w:pStyle w:val="Compact"/>
            </w:pPr>
            <w:r>
              <w:t xml:space="preserve">Night-out allowance</w:t>
            </w:r>
          </w:p>
        </w:tc>
        <w:tc>
          <w:tcPr/>
          <w:p>
            <w:pPr>
              <w:pStyle w:val="Compact"/>
            </w:pPr>
            <w:r>
              <w:t xml:space="preserve">1,500 per night</w:t>
            </w:r>
          </w:p>
        </w:tc>
        <w:tc>
          <w:tcPr/>
          <w:p>
            <w:pPr>
              <w:pStyle w:val="Compact"/>
            </w:pPr>
            <w:r>
              <w:t xml:space="preserve">Overnight away from base with no Company-paid lodging</w:t>
            </w:r>
          </w:p>
        </w:tc>
      </w:tr>
      <w:tr>
        <w:tc>
          <w:tcPr/>
          <w:p>
            <w:pPr>
              <w:pStyle w:val="Compact"/>
            </w:pPr>
            <w:r>
              <w:t xml:space="preserve">Night-route allowance</w:t>
            </w:r>
          </w:p>
        </w:tc>
        <w:tc>
          <w:tcPr/>
          <w:p>
            <w:pPr>
              <w:pStyle w:val="Compact"/>
            </w:pPr>
            <w:r>
              <w:t xml:space="preserve">800 per shift</w:t>
            </w:r>
          </w:p>
        </w:tc>
        <w:tc>
          <w:tcPr/>
          <w:p>
            <w:pPr>
              <w:pStyle w:val="Compact"/>
            </w:pPr>
            <w:r>
              <w:t xml:space="preserve">At least 4 hours’ driving between 22:00 and 05:00</w:t>
            </w:r>
          </w:p>
        </w:tc>
      </w:tr>
      <w:tr>
        <w:tc>
          <w:tcPr/>
          <w:p>
            <w:pPr>
              <w:pStyle w:val="Compact"/>
            </w:pPr>
            <w:r>
              <w:t xml:space="preserve">Shift B allowance</w:t>
            </w:r>
          </w:p>
        </w:tc>
        <w:tc>
          <w:tcPr/>
          <w:p>
            <w:pPr>
              <w:pStyle w:val="Compact"/>
            </w:pPr>
            <w:r>
              <w:t xml:space="preserve">3,000 per month</w:t>
            </w:r>
          </w:p>
        </w:tc>
        <w:tc>
          <w:tcPr/>
          <w:p>
            <w:pPr>
              <w:pStyle w:val="Compact"/>
            </w:pPr>
            <w:r>
              <w:t xml:space="preserve">Warehouse Shift B staff</w:t>
            </w:r>
          </w:p>
        </w:tc>
      </w:tr>
      <w:tr>
        <w:tc>
          <w:tcPr/>
          <w:p>
            <w:pPr>
              <w:pStyle w:val="Compact"/>
            </w:pPr>
            <w:r>
              <w:t xml:space="preserve">Conveyance</w:t>
            </w:r>
          </w:p>
        </w:tc>
        <w:tc>
          <w:tcPr/>
          <w:p>
            <w:pPr>
              <w:pStyle w:val="Compact"/>
            </w:pPr>
            <w:r>
              <w:t xml:space="preserve">4,000 per month</w:t>
            </w:r>
          </w:p>
        </w:tc>
        <w:tc>
          <w:tcPr/>
          <w:p>
            <w:pPr>
              <w:pStyle w:val="Compact"/>
            </w:pPr>
            <w:r>
              <w:t xml:space="preserve">G1–G2</w:t>
            </w:r>
          </w:p>
        </w:tc>
      </w:tr>
      <w:tr>
        <w:tc>
          <w:tcPr/>
          <w:p>
            <w:pPr>
              <w:pStyle w:val="Compact"/>
            </w:pPr>
            <w:r>
              <w:t xml:space="preserve">Mobile</w:t>
            </w:r>
          </w:p>
        </w:tc>
        <w:tc>
          <w:tcPr/>
          <w:p>
            <w:pPr>
              <w:pStyle w:val="Compact"/>
            </w:pPr>
            <w:r>
              <w:t xml:space="preserve">G3: 2,500; G4: 5,000; G5: actual up to 15,000</w:t>
            </w:r>
          </w:p>
        </w:tc>
        <w:tc>
          <w:tcPr/>
          <w:p>
            <w:pPr>
              <w:pStyle w:val="Compact"/>
            </w:pPr>
            <w:r>
              <w:t xml:space="preserve">G3–G5</w:t>
            </w:r>
          </w:p>
        </w:tc>
      </w:tr>
      <w:tr>
        <w:tc>
          <w:tcPr/>
          <w:p>
            <w:pPr>
              <w:pStyle w:val="Compact"/>
            </w:pPr>
            <w:r>
              <w:t xml:space="preserve">Fuel</w:t>
            </w:r>
          </w:p>
        </w:tc>
        <w:tc>
          <w:tcPr/>
          <w:p>
            <w:pPr>
              <w:pStyle w:val="Compact"/>
            </w:pPr>
            <w:r>
              <w:t xml:space="preserve">G4: 120 litres; G5: 200 litres per month</w:t>
            </w:r>
          </w:p>
        </w:tc>
        <w:tc>
          <w:tcPr/>
          <w:p>
            <w:pPr>
              <w:pStyle w:val="Compact"/>
            </w:pPr>
            <w:r>
              <w:t xml:space="preserve">G4–G5</w:t>
            </w:r>
          </w:p>
        </w:tc>
      </w:tr>
    </w:tbl>
    <w:p>
      <w:pPr>
        <w:pStyle w:val="FirstParagraph"/>
      </w:pPr>
      <w:r>
        <w:t xml:space="preserve">10.1 Trip allowances are claimed through the trip sheet approved by the Dispatch Supervisor and paid with the next monthly payroll. They are not claimed on Form FIN-01.</w:t>
      </w:r>
    </w:p>
    <w:p>
      <w:pPr>
        <w:pStyle w:val="BodyText"/>
      </w:pPr>
      <w:r>
        <w:t xml:space="preserve">10.2 The Shift B allowance is paid in full during Ramadan despite reduced hours.</w:t>
      </w:r>
    </w:p>
    <w:p>
      <w:pPr>
        <w:pStyle w:val="BodyText"/>
      </w:pPr>
      <w:r>
        <w:t xml:space="preserve">10.3 An employee on Shift B for fewer than 10 working days in a month receives the Shift B allowance pro rata.</w:t>
      </w:r>
    </w:p>
    <w:p>
      <w:pPr>
        <w:pStyle w:val="BodyText"/>
      </w:pPr>
      <w:r>
        <w:t xml:space="preserve">10.4</w:t>
      </w:r>
      <w:r>
        <w:t xml:space="preserve"> </w:t>
      </w:r>
      <w:r>
        <w:rPr>
          <w:b/>
          <w:bCs/>
        </w:rPr>
        <w:t xml:space="preserve">Medical benefits</w:t>
      </w:r>
      <w:r>
        <w:t xml:space="preserve"> </w:t>
      </w:r>
      <w:r>
        <w:t xml:space="preserve">- 10.4.1 OPD reimbursement limits per leave year: G1–G2 PKR 30,000; G3 PKR 50,000; G4 PKR 100,000; G5 PKR 150,000.</w:t>
      </w:r>
      <w:r>
        <w:t xml:space="preserve"> </w:t>
      </w:r>
      <w:r>
        <w:t xml:space="preserve">- 10.4.2 OPD claims are submitted on Form HR-03 within 60 days of the expense, with original receipts and prescriptions.</w:t>
      </w:r>
      <w:r>
        <w:t xml:space="preserve"> </w:t>
      </w:r>
      <w:r>
        <w:t xml:space="preserve">- 10.4.3 IPD (hospitalisation) is covered by group insurance from the date of joining, per family per year: G1–G2 PKR 300,000; G3 PKR 500,000; G4–G5 PKR 1,000,000.</w:t>
      </w:r>
    </w:p>
    <w:p>
      <w:pPr>
        <w:pStyle w:val="BodyText"/>
      </w:pPr>
      <w:r>
        <w:t xml:space="preserve">10.5</w:t>
      </w:r>
      <w:r>
        <w:t xml:space="preserve"> </w:t>
      </w:r>
      <w:r>
        <w:rPr>
          <w:b/>
          <w:bCs/>
        </w:rPr>
        <w:t xml:space="preserve">Statutory contributions.</w:t>
      </w:r>
      <w:r>
        <w:t xml:space="preserve"> </w:t>
      </w:r>
      <w:r>
        <w:t xml:space="preserve">EOBI and social security contributions are made as required by applicable law. Employees must provide a valid CNIC copy to HR within 7 days of joining for registration.</w:t>
      </w:r>
    </w:p>
    <w:p>
      <w:pPr>
        <w:pStyle w:val="BodyText"/>
      </w:pPr>
      <w:r>
        <w:t xml:space="preserve">10.6</w:t>
      </w:r>
      <w:r>
        <w:t xml:space="preserve"> </w:t>
      </w:r>
      <w:r>
        <w:rPr>
          <w:b/>
          <w:bCs/>
        </w:rPr>
        <w:t xml:space="preserve">Salary payment.</w:t>
      </w:r>
      <w:r>
        <w:t xml:space="preserve"> </w:t>
      </w:r>
      <w:r>
        <w:t xml:space="preserve">Salaries are paid by bank transfer on the last working day of each month. If that day is a public holiday, salaries are paid on the preceding working day.</w:t>
      </w:r>
    </w:p>
    <w:p>
      <w:pPr>
        <w:pStyle w:val="Heading2"/>
      </w:pPr>
      <w:bookmarkStart w:id="20" w:name="_separation"/>
      <w:r>
        <w:t xml:space="preserve">11. Separation</w:t>
      </w:r>
      <w:bookmarkEnd w:id="20"/>
    </w:p>
    <w:p>
      <w:pPr>
        <w:pStyle w:val="FirstParagraph"/>
      </w:pPr>
      <w:r>
        <w:t xml:space="preserve">11.1</w:t>
      </w:r>
      <w:r>
        <w:t xml:space="preserve"> </w:t>
      </w:r>
      <w:r>
        <w:rPr>
          <w:b/>
          <w:bCs/>
        </w:rPr>
        <w:t xml:space="preserve">Notice periods</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Status / grade</w:t>
            </w:r>
          </w:p>
        </w:tc>
        <w:tc>
          <w:tcPr/>
          <w:p>
            <w:pPr>
              <w:pStyle w:val="Compact"/>
            </w:pPr>
            <w:r>
              <w:t xml:space="preserve">Notice (either party)</w:t>
            </w:r>
          </w:p>
        </w:tc>
      </w:tr>
      <w:tr>
        <w:tc>
          <w:tcPr/>
          <w:p>
            <w:pPr>
              <w:pStyle w:val="Compact"/>
            </w:pPr>
            <w:r>
              <w:t xml:space="preserve">Probation (all grades)</w:t>
            </w:r>
          </w:p>
        </w:tc>
        <w:tc>
          <w:tcPr/>
          <w:p>
            <w:pPr>
              <w:pStyle w:val="Compact"/>
            </w:pPr>
            <w:r>
              <w:t xml:space="preserve">7 days</w:t>
            </w:r>
          </w:p>
        </w:tc>
      </w:tr>
      <w:tr>
        <w:tc>
          <w:tcPr/>
          <w:p>
            <w:pPr>
              <w:pStyle w:val="Compact"/>
            </w:pPr>
            <w:r>
              <w:t xml:space="preserve">Confirmed G1–G2</w:t>
            </w:r>
          </w:p>
        </w:tc>
        <w:tc>
          <w:tcPr/>
          <w:p>
            <w:pPr>
              <w:pStyle w:val="Compact"/>
            </w:pPr>
            <w:r>
              <w:t xml:space="preserve">30 days</w:t>
            </w:r>
          </w:p>
        </w:tc>
      </w:tr>
      <w:tr>
        <w:tc>
          <w:tcPr/>
          <w:p>
            <w:pPr>
              <w:pStyle w:val="Compact"/>
            </w:pPr>
            <w:r>
              <w:t xml:space="preserve">Confirmed G3</w:t>
            </w:r>
          </w:p>
        </w:tc>
        <w:tc>
          <w:tcPr/>
          <w:p>
            <w:pPr>
              <w:pStyle w:val="Compact"/>
            </w:pPr>
            <w:r>
              <w:t xml:space="preserve">60 days</w:t>
            </w:r>
          </w:p>
        </w:tc>
      </w:tr>
      <w:tr>
        <w:tc>
          <w:tcPr/>
          <w:p>
            <w:pPr>
              <w:pStyle w:val="Compact"/>
            </w:pPr>
            <w:r>
              <w:t xml:space="preserve">Confirmed G4–G5</w:t>
            </w:r>
          </w:p>
        </w:tc>
        <w:tc>
          <w:tcPr/>
          <w:p>
            <w:pPr>
              <w:pStyle w:val="Compact"/>
            </w:pPr>
            <w:r>
              <w:t xml:space="preserve">90 days</w:t>
            </w:r>
          </w:p>
        </w:tc>
      </w:tr>
    </w:tbl>
    <w:p>
      <w:pPr>
        <w:pStyle w:val="FirstParagraph"/>
      </w:pPr>
      <w:r>
        <w:t xml:space="preserve">11.2 The Company may pay basic salary in lieu of notice. An employee who leaves without serving notice has basic salary for the unserved period deducted from final settlement.</w:t>
      </w:r>
    </w:p>
    <w:p>
      <w:pPr>
        <w:pStyle w:val="BodyText"/>
      </w:pPr>
      <w:r>
        <w:t xml:space="preserve">11.3</w:t>
      </w:r>
      <w:r>
        <w:t xml:space="preserve"> </w:t>
      </w:r>
      <w:r>
        <w:rPr>
          <w:b/>
          <w:bCs/>
        </w:rPr>
        <w:t xml:space="preserve">Leave on exit</w:t>
      </w:r>
      <w:r>
        <w:t xml:space="preserve"> </w:t>
      </w:r>
      <w:r>
        <w:t xml:space="preserve">- 11.3.1 Annual leave may not be used to shorten the notice period without department manager approval.</w:t>
      </w:r>
      <w:r>
        <w:t xml:space="preserve"> </w:t>
      </w:r>
      <w:r>
        <w:t xml:space="preserve">- 11.3.2 Unused annual leave for the current leave year (including any valid carried-forward days) is encashed at basic salary in the final settlement.</w:t>
      </w:r>
      <w:r>
        <w:t xml:space="preserve"> </w:t>
      </w:r>
      <w:r>
        <w:t xml:space="preserve">- 11.3.3 Leave is not encashed for employees dismissed for gross misconduct under IFL-HR-002 §9.4.</w:t>
      </w:r>
    </w:p>
    <w:p>
      <w:pPr>
        <w:pStyle w:val="BodyText"/>
      </w:pPr>
      <w:r>
        <w:t xml:space="preserve">11.4</w:t>
      </w:r>
      <w:r>
        <w:t xml:space="preserve"> </w:t>
      </w:r>
      <w:r>
        <w:rPr>
          <w:b/>
          <w:bCs/>
        </w:rPr>
        <w:t xml:space="preserve">Clearance.</w:t>
      </w:r>
      <w:r>
        <w:t xml:space="preserve"> </w:t>
      </w:r>
      <w:r>
        <w:t xml:space="preserve">Final settlement is paid within 30 days of the last working day, after the employee completes clearance: return of ID card, PPE, devices (Form IT-02), fuel card (drivers, per IFL-OPS-003 §6) and any cash advance (Form FIN-03).</w:t>
      </w:r>
    </w:p>
    <w:p>
      <w:pPr>
        <w:pStyle w:val="Heading2"/>
      </w:pPr>
      <w:bookmarkStart w:id="21" w:name="_3f5aa8521f98389e7d9d1a7136d0e2ebf5ff21e"/>
      <w:r>
        <w:t xml:space="preserve">12. Exceptions and Special Cases</w:t>
      </w:r>
      <w:bookmarkEnd w:id="21"/>
    </w:p>
    <w:p>
      <w:pPr>
        <w:pStyle w:val="FirstParagraph"/>
      </w:pPr>
      <w:r>
        <w:t xml:space="preserve">12.1</w:t>
      </w:r>
      <w:r>
        <w:t xml:space="preserve"> </w:t>
      </w:r>
      <w:r>
        <w:rPr>
          <w:b/>
          <w:bCs/>
        </w:rPr>
        <w:t xml:space="preserve">Operational carry-forward exception.</w:t>
      </w:r>
      <w:r>
        <w:t xml:space="preserve"> </w:t>
      </w:r>
      <w:r>
        <w:t xml:space="preserve">Where annual leave requested between 1 October and 31 December is refused in writing for operational reasons under §7.6.1, the employee may carry forward up to 10 days (instead of 7) into the next leave year. The extra days must be used by 30 June. This exception applies only if the refusal is recorded in HRIS.</w:t>
      </w:r>
    </w:p>
    <w:p>
      <w:pPr>
        <w:pStyle w:val="BodyText"/>
      </w:pPr>
      <w:r>
        <w:t xml:space="preserve">12.2</w:t>
      </w:r>
      <w:r>
        <w:t xml:space="preserve"> </w:t>
      </w:r>
      <w:r>
        <w:rPr>
          <w:b/>
          <w:bCs/>
        </w:rPr>
        <w:t xml:space="preserve">Night-route drivers.</w:t>
      </w:r>
      <w:r>
        <w:t xml:space="preserve"> </w:t>
      </w:r>
      <w:r>
        <w:t xml:space="preserve">A driver whose last duty before leave is a night route (ending after 22:00) starts the first day of leave only after completing the 11-hour daily rest required by IFL-OPS-003 §4. Leave days are not deducted for the rest period.</w:t>
      </w:r>
    </w:p>
    <w:p>
      <w:pPr>
        <w:pStyle w:val="BodyText"/>
      </w:pPr>
      <w:r>
        <w:t xml:space="preserve">12.3</w:t>
      </w:r>
      <w:r>
        <w:t xml:space="preserve"> </w:t>
      </w:r>
      <w:r>
        <w:rPr>
          <w:b/>
          <w:bCs/>
        </w:rPr>
        <w:t xml:space="preserve">Leave during notice for probationers.</w:t>
      </w:r>
      <w:r>
        <w:t xml:space="preserve"> </w:t>
      </w:r>
      <w:r>
        <w:t xml:space="preserve">Probationers may not take any leave during their 7-day notice period, except sick leave supported by a medical certificate.</w:t>
      </w:r>
    </w:p>
    <w:p>
      <w:pPr>
        <w:pStyle w:val="BodyText"/>
      </w:pPr>
      <w:r>
        <w:t xml:space="preserve">12.4</w:t>
      </w:r>
      <w:r>
        <w:t xml:space="preserve"> </w:t>
      </w:r>
      <w:r>
        <w:rPr>
          <w:b/>
          <w:bCs/>
        </w:rPr>
        <w:t xml:space="preserve">Transfers between Karachi and Lahore.</w:t>
      </w:r>
      <w:r>
        <w:t xml:space="preserve"> </w:t>
      </w:r>
      <w:r>
        <w:t xml:space="preserve">When an employee transfers between a Monday–Friday and a Monday–Saturday schedule, their remaining leave balance is converted at the ratio 5:6 (or 6:5), rounded to the nearest half day.</w:t>
      </w:r>
    </w:p>
    <w:p>
      <w:pPr>
        <w:pStyle w:val="BodyText"/>
      </w:pPr>
      <w:r>
        <w:t xml:space="preserve">12.5 Any exception not covered by this policy requires written approval by the HR Manager and the COO.</w:t>
      </w:r>
    </w:p>
    <w:p>
      <w:pPr>
        <w:pStyle w:val="Heading2"/>
      </w:pPr>
      <w:bookmarkStart w:id="22" w:name="_grievances"/>
      <w:r>
        <w:t xml:space="preserve">13. Grievances</w:t>
      </w:r>
      <w:bookmarkEnd w:id="22"/>
    </w:p>
    <w:p>
      <w:pPr>
        <w:pStyle w:val="FirstParagraph"/>
      </w:pPr>
      <w:r>
        <w:t xml:space="preserve">13.1 Employees may raise concerns about the application of this policy on Form HR-10 (Grievance Form) to the HR Manager (hr@indusfreight.example, ext. 110).</w:t>
      </w:r>
    </w:p>
    <w:p>
      <w:pPr>
        <w:pStyle w:val="BodyText"/>
      </w:pPr>
      <w:r>
        <w:t xml:space="preserve">13.2 HR acknowledges grievances within 3 working days and gives a written outcome within 15 working days. Appeals go to the COO within 7 days of the outcome.</w:t>
      </w:r>
    </w:p>
    <w:p>
      <w:pPr>
        <w:pStyle w:val="BodyText"/>
      </w:pPr>
      <w:r>
        <w:t xml:space="preserve">13.3 Concerns about misconduct may also be raised confidentially through ethics@indusfreight.example under IFL-HR-002 §8.</w:t>
      </w:r>
    </w:p>
    <w:p>
      <w:pPr>
        <w:pStyle w:val="Heading2"/>
      </w:pPr>
      <w:bookmarkStart w:id="23" w:name="_790f9289032449bb6ef526872949ccd2adf6a9b"/>
      <w:r>
        <w:t xml:space="preserve">14. Revision History</w:t>
      </w:r>
      <w:bookmarkEnd w:id="23"/>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Version</w:t>
            </w:r>
          </w:p>
        </w:tc>
        <w:tc>
          <w:tcPr/>
          <w:p>
            <w:pPr>
              <w:pStyle w:val="Compact"/>
            </w:pPr>
            <w:r>
              <w:t xml:space="preserve">Effective date</w:t>
            </w:r>
          </w:p>
        </w:tc>
        <w:tc>
          <w:tcPr/>
          <w:p>
            <w:pPr>
              <w:pStyle w:val="Compact"/>
            </w:pPr>
            <w:r>
              <w:t xml:space="preserve">Summary of changes</w:t>
            </w:r>
          </w:p>
        </w:tc>
      </w:tr>
      <w:tr>
        <w:tc>
          <w:tcPr/>
          <w:p>
            <w:pPr>
              <w:pStyle w:val="Compact"/>
            </w:pPr>
            <w:r>
              <w:t xml:space="preserve">1.0</w:t>
            </w:r>
          </w:p>
        </w:tc>
        <w:tc>
          <w:tcPr/>
          <w:p>
            <w:pPr>
              <w:pStyle w:val="Compact"/>
            </w:pPr>
            <w:r>
              <w:t xml:space="preserve">1 July 2021</w:t>
            </w:r>
          </w:p>
        </w:tc>
        <w:tc>
          <w:tcPr/>
          <w:p>
            <w:pPr>
              <w:pStyle w:val="Compact"/>
            </w:pPr>
            <w:r>
              <w:t xml:space="preserve">First issue</w:t>
            </w:r>
          </w:p>
        </w:tc>
      </w:tr>
      <w:tr>
        <w:tc>
          <w:tcPr/>
          <w:p>
            <w:pPr>
              <w:pStyle w:val="Compact"/>
            </w:pPr>
            <w:r>
              <w:t xml:space="preserve">2.0</w:t>
            </w:r>
          </w:p>
        </w:tc>
        <w:tc>
          <w:tcPr/>
          <w:p>
            <w:pPr>
              <w:pStyle w:val="Compact"/>
            </w:pPr>
            <w:r>
              <w:t xml:space="preserve">1 January 2024</w:t>
            </w:r>
          </w:p>
        </w:tc>
        <w:tc>
          <w:tcPr/>
          <w:p>
            <w:pPr>
              <w:pStyle w:val="Compact"/>
            </w:pPr>
            <w:r>
              <w:t xml:space="preserve">Added Ramadan hours, Shift B allowance, injury-on-duty leave</w:t>
            </w:r>
          </w:p>
        </w:tc>
      </w:tr>
      <w:tr>
        <w:tc>
          <w:tcPr/>
          <w:p>
            <w:pPr>
              <w:pStyle w:val="Compact"/>
            </w:pPr>
            <w:r>
              <w:t xml:space="preserve">3.0</w:t>
            </w:r>
          </w:p>
        </w:tc>
        <w:tc>
          <w:tcPr/>
          <w:p>
            <w:pPr>
              <w:pStyle w:val="Compact"/>
            </w:pPr>
            <w:r>
              <w:t xml:space="preserve">1 January 2026</w:t>
            </w:r>
          </w:p>
        </w:tc>
        <w:tc>
          <w:tcPr/>
          <w:p>
            <w:pPr>
              <w:pStyle w:val="Compact"/>
            </w:pPr>
            <w:r>
              <w:t xml:space="preserve">Paternity leave increased from 5 to 7 days; carry-forward increased from 5 to 7 days; added +2 days out-of-city bereavement; added operational carry-forward exception (§12.1); driver probation set at 6 months</w:t>
            </w:r>
          </w:p>
        </w:tc>
      </w:tr>
    </w:tbl>
    <w:p>
      <w:r>
        <w:pict>
          <v:rect style="width:0;height:1.5pt" o:hralign="center" o:hrstd="t" o:hr="t"/>
        </w:pict>
      </w:r>
    </w:p>
    <w:p>
      <w:pPr>
        <w:pStyle w:val="FirstParagraph"/>
      </w:pPr>
      <w:r>
        <w:t xml:space="preserve">Fictional company — created for software demonstration only.</w:t>
      </w:r>
    </w:p>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embedSystemFonts/>
  <w:proofState w:spelling="clean" w:grammar="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bg1="light1" w:t1="dark1" w:bg2="light2" w:t2="dark2" w:accent1="accent1" w:accent2="accent2" w:accent3="accent3" w:accent4="accent4" w:accent5="accent5" w:accent6="accent6" w:hyperlink="hyperlink" w:followedHyperlink="followedHyperlink"/>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EastAsia" w:hAnsiTheme="minorHAnsi" w:cstheme="minorBidi"/>
        <w:sz w:val="24"/>
        <w:szCs w:val="24"/>
        <w:lang w:val="en-US" w:eastAsia="zh-CN" w:bidi="ar-SA"/>
      </w:rPr>
    </w:rPrDefault>
    <w:pPrDefault>
      <w:pPr>
        <w:spacing w:after="200"/>
      </w:pPr>
    </w:pPrDefault>
  </w:docDefaults>
  <w:latentStyles w:defLockedState="0" w:defUIPriority="0" w:defSemiHidden="0" w:defUnhideWhenUsed="0" w:defQFormat="0" w:count="276"/>
  <w:style w:type="paragraph" w:default="1" w:styleId="Normal">
    <w:name w:val="Normal"/>
    <w:qFormat/>
  </w:style>
  <w:style w:type="paragraph" w:styleId="BodyText">
    <w:name w:val="Body Text"/>
    <w:basedOn w:val="Normal"/>
    <w:link w:val="BodyTextChar"/>
    <w:qFormat/>
    <w:pPr>
      <w:spacing w:before="180" w:after="18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link w:val="TitleChar"/>
    <w:uiPriority w:val="10"/>
    <w:qFormat/>
    <w:rsid w:val="00A10FD9"/>
    <w:pPr>
      <w:spacing w:after="80" w:line="240" w:lineRule="auto"/>
      <w:contextualSpacing/>
      <w:jc w:val="center"/>
    </w:pPr>
    <w:rPr>
      <w:rFonts w:asciiTheme="majorHAnsi" w:eastAsiaTheme="majorEastAsia" w:hAnsiTheme="majorHAnsi" w:cstheme="majorBidi"/>
      <w:sz w:val="56"/>
      <w:szCs w:val="56"/>
    </w:rPr>
  </w:style>
  <w:style w:type="character" w:customStyle="1" w:styleId="TitleChar">
    <w:name w:val="Title Char"/>
    <w:basedOn w:val="DefaultParagraphFont"/>
    <w:link w:val="Title"/>
    <w:uiPriority w:val="10"/>
    <w:rsid w:val="00A10FD9"/>
    <w:rPr>
      <w:rFonts w:asciiTheme="majorHAnsi" w:eastAsiaTheme="majorEastAsia" w:hAnsiTheme="majorHAnsi" w:cstheme="majorBidi"/>
      <w:sz w:val="56"/>
      <w:szCs w:val="56"/>
    </w:rPr>
  </w:style>
  <w:style w:type="paragraph" w:styleId="Subtitle">
    <w:name w:val="Subtitle"/>
    <w:basedOn w:val="Title"/>
    <w:next w:val="BodyText"/>
    <w:link w:val="SubtitleChar"/>
    <w:uiPriority w:val="11"/>
    <w:qFormat/>
    <w:rsid w:val="00A10FD9"/>
    <w:pPr>
      <w:numPr>
        <w:ilvl w:val="1"/>
      </w:numPr>
    </w:pPr>
    <w:rPr>
      <w:rFonts w:eastAsiaTheme="majorEastAsia" w:cstheme="majorBidi"/>
      <w:spacing w:val="15"/>
      <w:sz w:val="28"/>
      <w:szCs w:val="28"/>
    </w:rPr>
  </w:style>
  <w:style w:type="character" w:customStyle="1" w:styleId="SubtitleChar">
    <w:name w:val="Subtitle Char"/>
    <w:basedOn w:val="DefaultParagraphFont"/>
    <w:link w:val="Subtitle"/>
    <w:uiPriority w:val="11"/>
    <w:rsid w:val="00A10FD9"/>
    <w:rPr>
      <w:rFonts w:eastAsiaTheme="majorEastAsia" w:cstheme="majorBidi"/>
      <w:color w:val="595959" w:themeColor="text1" w:themeTint="A6"/>
      <w:spacing w:val="15"/>
      <w:sz w:val="28"/>
      <w:szCs w:val="28"/>
    </w:rPr>
  </w:style>
  <w:style w:type="paragraph" w:customStyle="1" w:styleId="Author">
    <w:name w:val="Author"/>
    <w:basedOn w:val="Title"/>
    <w:next w:val="BodyText"/>
    <w:qFormat/>
    <w:pPr>
      <w:keepNext/>
      <w:keepLines/>
    </w:pPr>
    <w:rPr>
      <w:sz w:val="24"/>
      <w:szCs w:val="24"/>
    </w:rPr>
  </w:style>
  <w:style w:type="paragraph" w:styleId="Date">
    <w:name w:val="Date"/>
    <w:basedOn w:val="Title"/>
    <w:next w:val="BodyText"/>
    <w:qFormat/>
    <w:pPr>
      <w:keepNext/>
      <w:keepLines/>
    </w:pPr>
    <w:rPr>
      <w:sz w:val="24"/>
      <w:szCs w:val="24"/>
    </w:rPr>
  </w:style>
  <w:style w:type="paragraph" w:customStyle="1" w:styleId="AbstractTitle">
    <w:name w:val="Abstract Title"/>
    <w:basedOn w:val="Normal"/>
    <w:next w:val="Abstract"/>
    <w:qFormat/>
    <w:pPr>
      <w:keepNext/>
      <w:keepLines/>
      <w:spacing w:before="300" w:after="0"/>
      <w:jc w:val="center"/>
    </w:pPr>
    <w:rPr>
      <w:b/>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next w:val="Bibliography"/>
    <w:qFormat/>
    <w:pPr/>
    <w:rPr/>
  </w:style>
  <w:style w:type="paragraph" w:styleId="Heading1">
    <w:name w:val="heading 1"/>
    <w:basedOn w:val="Normal"/>
    <w:next w:val="BodyText"/>
    <w:link w:val="Heading1Char"/>
    <w:uiPriority w:val="9"/>
    <w:qFormat/>
    <w:rsid w:val="00A10FD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BodyText"/>
    <w:link w:val="Heading2Char"/>
    <w:uiPriority w:val="9"/>
    <w:semiHidden/>
    <w:unhideWhenUsed/>
    <w:qFormat/>
    <w:rsid w:val="00A10FD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BodyText"/>
    <w:link w:val="Heading3Char"/>
    <w:uiPriority w:val="9"/>
    <w:semiHidden/>
    <w:unhideWhenUsed/>
    <w:qFormat/>
    <w:rsid w:val="00A10FD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BodyText"/>
    <w:link w:val="Heading4Char"/>
    <w:uiPriority w:val="9"/>
    <w:semiHidden/>
    <w:unhideWhenUsed/>
    <w:qFormat/>
    <w:rsid w:val="00A10FD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BodyText"/>
    <w:link w:val="Heading5Char"/>
    <w:uiPriority w:val="9"/>
    <w:semiHidden/>
    <w:unhideWhenUsed/>
    <w:qFormat/>
    <w:rsid w:val="00A10FD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BodyText"/>
    <w:link w:val="Heading6Char"/>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BodyText"/>
    <w:link w:val="Heading7Char"/>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BodyText"/>
    <w:link w:val="Heading8Char"/>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BodyText"/>
    <w:link w:val="Heading9Char"/>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customStyle="1" w:styleId="Heading1Char">
    <w:name w:val="Heading 1 Char"/>
    <w:basedOn w:val="DefaultParagraphFont"/>
    <w:link w:val="Heading1"/>
    <w:uiPriority w:val="9"/>
    <w:rsid w:val="00A10FD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10FD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10FD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10FD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10FD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10FD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10FD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10FD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10FD9"/>
    <w:rPr>
      <w:rFonts w:eastAsiaTheme="majorEastAsia" w:cstheme="majorBidi"/>
      <w:color w:val="272727" w:themeColor="text1" w:themeTint="D8"/>
    </w:rPr>
  </w:style>
  <w:style w:type="paragraph" w:styleId="BlockText">
    <w:name w:val="Block Text"/>
    <w:basedOn w:val="BodyText"/>
    <w:next w:val="BodyText"/>
    <w:uiPriority w:val="9"/>
    <w:unhideWhenUsed/>
    <w:qFormat/>
    <w:pPr>
      <w:spacing w:before="100" w:after="100"/>
      <w:ind w:firstLine="0" w:left="480" w:right="480"/>
    </w:pPr>
  </w:style>
  <w:style w:type="paragraph" w:styleId="FootnoteText">
    <w:name w:val="Footnote Text"/>
    <w:basedOn w:val="Normal"/>
    <w:next w:val="FootnoteText"/>
    <w:uiPriority w:val="9"/>
    <w:unhideWhenUsed/>
    <w:qFormat/>
  </w:style>
  <w:style w:type="paragraph" w:styleId="FootnoteBlockText">
    <w:name w:val="Footnote Block Text"/>
    <w:basedOn w:val="FootnoteText"/>
    <w:next w:val="FootnoteText"/>
    <w:uiPriority w:val="9"/>
    <w:unhideWhenUsed/>
    <w:qFormat/>
    <w:pPr>
      <w:spacing w:before="100" w:after="100"/>
      <w:ind w:firstLine="0" w:left="480" w:right="480"/>
    </w:pPr>
  </w:style>
  <w:style w:type="character" w:default="1" w:styleId="DefaultParagraphFont">
    <w:name w:val="Default Paragraph Font"/>
    <w:semiHidden/>
    <w:unhideWhenUsed/>
  </w:style>
  <w:style w:type="table" w:default="1" w:styleId="Table">
    <w:name w:val="Table"/>
    <w:basedOn w:val="TableNormal"/>
    <w:qFormat/>
    <w:tblPr>
      <w:tblInd w:w="0" w:type="dxa"/>
      <w:tblCellMar>
        <w:top w:w="0" w:type="dxa"/>
        <w:left w:w="108" w:type="dxa"/>
        <w:bottom w:w="0" w:type="dxa"/>
        <w:right w:w="108" w:type="dxa"/>
      </w:tblCellMar>
    </w:tblPr>
    <w:tblStylePr w:type="firstRow">
      <w:tcPr>
        <w:tcBorders>
          <w:bottom w:val="single"/>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BodyTextChar"/>
    <w:pPr>
      <w:spacing w:before="0"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BodyTextChar">
    <w:name w:val="Body Text Char"/>
    <w:basedOn w:val="DefaultParagraphFont"/>
    <w:link w:val="BodyText"/>
  </w:style>
  <w:style w:type="character" w:customStyle="1" w:styleId="VerbatimChar">
    <w:name w:val="Verbatim Char"/>
    <w:basedOn w:val="BodyTextChar"/>
    <w:rPr>
      <w:rFonts w:ascii="Consolas" w:hAnsi="Consolas"/>
      <w:sz w:val="22"/>
    </w:rPr>
  </w:style>
  <w:style w:type="character" w:customStyle="1" w:styleId="SectionNumber">
    <w:name w:val="Section Number"/>
    <w:basedOn w:val="BodyTextChar"/>
  </w:style>
  <w:style w:type="character" w:styleId="FootnoteReference">
    <w:name w:val="Footnote Reference"/>
    <w:basedOn w:val="BodyTextChar"/>
    <w:rPr>
      <w:vertAlign w:val="superscript"/>
    </w:rPr>
  </w:style>
  <w:style w:type="character" w:styleId="Hyperlink">
    <w:name w:val="Hyperlink"/>
    <w:basedOn w:val="BodyTextChar"/>
    <w:rPr>
      <w:color w:val="4F81BD" w:themeColor="accent1"/>
    </w:rPr>
  </w:style>
  <w:style w:type="paragraph" w:styleId="TOCHeading">
    <w:name w:val="TOC Heading"/>
    <w:basedOn w:val="Heading1"/>
    <w:next w:val="BodyText"/>
    <w:uiPriority w:val="39"/>
    <w:unhideWhenUsed/>
    <w:qFormat/>
    <w:pPr>
      <w:spacing w:before="240" w:line="259" w:lineRule="auto"/>
      <w:outlineLvl w:val="9"/>
    </w:pPr>
    <w:rPr>
      <w:rFonts w:asciiTheme="majorHAnsi" w:eastAsiaTheme="majorEastAsia" w:hAnsiTheme="majorHAnsi" w:cstheme="majorBidi"/>
      <w:b w:val="0"/>
      <w:bCs w:val="0"/>
      <w:color w:val="365F91" w:themeColor="accent1" w:themeShade="BF"/>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2026-10-22T09:20:48Z</dcterms:created>
  <dcterms:modified xsi:type="dcterms:W3CDTF">2026-10-22T09:20:48Z</dcterms:modified>
</cp:coreProperties>
</file>

<file path=docProps/custom.xml><?xml version="1.0" encoding="utf-8"?>
<Properties xmlns="http://schemas.openxmlformats.org/officeDocument/2006/custom-properties" xmlns:vt="http://schemas.openxmlformats.org/officeDocument/2006/docPropsVTypes"/>
</file>