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676096ed37e8a1956cf49e61cee21b24fa1a0ca"/>
      <w:r>
        <w:t xml:space="preserve">Code of Conduct</w:t>
      </w:r>
      <w:bookmarkEnd w:id="9"/>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Company</w:t>
            </w:r>
          </w:p>
        </w:tc>
        <w:tc>
          <w:tcPr/>
          <w:p>
            <w:pPr>
              <w:pStyle w:val="Compact"/>
            </w:pPr>
            <w:r>
              <w:t xml:space="preserve">Indus Freight Lines (Pvt.) Ltd.</w:t>
            </w:r>
          </w:p>
        </w:tc>
      </w:tr>
      <w:tr>
        <w:tc>
          <w:tcPr/>
          <w:p>
            <w:pPr>
              <w:pStyle w:val="Compact"/>
            </w:pPr>
            <w:r>
              <w:t xml:space="preserve">Document ID</w:t>
            </w:r>
          </w:p>
        </w:tc>
        <w:tc>
          <w:tcPr/>
          <w:p>
            <w:pPr>
              <w:pStyle w:val="Compact"/>
            </w:pPr>
            <w:r>
              <w:t xml:space="preserve">IFL-HR-002</w:t>
            </w:r>
          </w:p>
        </w:tc>
      </w:tr>
      <w:tr>
        <w:tc>
          <w:tcPr/>
          <w:p>
            <w:pPr>
              <w:pStyle w:val="Compact"/>
            </w:pPr>
            <w:r>
              <w:t xml:space="preserve">Version</w:t>
            </w:r>
          </w:p>
        </w:tc>
        <w:tc>
          <w:tcPr/>
          <w:p>
            <w:pPr>
              <w:pStyle w:val="Compact"/>
            </w:pPr>
            <w:r>
              <w:t xml:space="preserve">2.0</w:t>
            </w:r>
          </w:p>
        </w:tc>
      </w:tr>
      <w:tr>
        <w:tc>
          <w:tcPr/>
          <w:p>
            <w:pPr>
              <w:pStyle w:val="Compact"/>
            </w:pPr>
            <w:r>
              <w:t xml:space="preserve">Effective date</w:t>
            </w:r>
          </w:p>
        </w:tc>
        <w:tc>
          <w:tcPr/>
          <w:p>
            <w:pPr>
              <w:pStyle w:val="Compact"/>
            </w:pPr>
            <w:r>
              <w:t xml:space="preserve">1 January 2026</w:t>
            </w:r>
          </w:p>
        </w:tc>
      </w:tr>
      <w:tr>
        <w:tc>
          <w:tcPr/>
          <w:p>
            <w:pPr>
              <w:pStyle w:val="Compact"/>
            </w:pPr>
            <w:r>
              <w:t xml:space="preserve">Supersedes</w:t>
            </w:r>
          </w:p>
        </w:tc>
        <w:tc>
          <w:tcPr/>
          <w:p>
            <w:pPr>
              <w:pStyle w:val="Compact"/>
            </w:pPr>
            <w:r>
              <w:t xml:space="preserve">Version 1.0 (effective 1 July 2021)</w:t>
            </w:r>
          </w:p>
        </w:tc>
      </w:tr>
      <w:tr>
        <w:tc>
          <w:tcPr/>
          <w:p>
            <w:pPr>
              <w:pStyle w:val="Compact"/>
            </w:pPr>
            <w:r>
              <w:t xml:space="preserve">Owner</w:t>
            </w:r>
          </w:p>
        </w:tc>
        <w:tc>
          <w:tcPr/>
          <w:p>
            <w:pPr>
              <w:pStyle w:val="Compact"/>
            </w:pPr>
            <w:r>
              <w:t xml:space="preserve">HR Manager</w:t>
            </w:r>
          </w:p>
        </w:tc>
      </w:tr>
      <w:tr>
        <w:tc>
          <w:tcPr/>
          <w:p>
            <w:pPr>
              <w:pStyle w:val="Compact"/>
            </w:pPr>
            <w:r>
              <w:t xml:space="preserve">Approved by</w:t>
            </w:r>
          </w:p>
        </w:tc>
        <w:tc>
          <w:tcPr/>
          <w:p>
            <w:pPr>
              <w:pStyle w:val="Compact"/>
            </w:pPr>
            <w:r>
              <w:t xml:space="preserve">CEO</w:t>
            </w:r>
          </w:p>
        </w:tc>
      </w:tr>
      <w:tr>
        <w:tc>
          <w:tcPr/>
          <w:p>
            <w:pPr>
              <w:pStyle w:val="Compact"/>
            </w:pPr>
            <w:r>
              <w:t xml:space="preserve">Next review date</w:t>
            </w:r>
          </w:p>
        </w:tc>
        <w:tc>
          <w:tcPr/>
          <w:p>
            <w:pPr>
              <w:pStyle w:val="Compact"/>
            </w:pPr>
            <w:r>
              <w:t xml:space="preserve">1 January 2027</w:t>
            </w:r>
          </w:p>
        </w:tc>
      </w:tr>
      <w:tr>
        <w:tc>
          <w:tcPr/>
          <w:p>
            <w:pPr>
              <w:pStyle w:val="Compact"/>
            </w:pPr>
            <w:r>
              <w:t xml:space="preserve">Applies to</w:t>
            </w:r>
          </w:p>
        </w:tc>
        <w:tc>
          <w:tcPr/>
          <w:p>
            <w:pPr>
              <w:pStyle w:val="Compact"/>
            </w:pPr>
            <w:r>
              <w:t xml:space="preserve">All employees, including probationers, at all locations</w:t>
            </w:r>
          </w:p>
        </w:tc>
      </w:tr>
    </w:tbl>
    <w:p>
      <w:r>
        <w:pict>
          <v:rect style="width:0;height:1.5pt" o:hralign="center" o:hrstd="t" o:hr="t"/>
        </w:pict>
      </w:r>
    </w:p>
    <w:p>
      <w:pPr>
        <w:pStyle w:val="Heading2"/>
      </w:pPr>
      <w:bookmarkStart w:id="10" w:name="_7f7cd9c9a015a8815b805d959c49a8b0d682e8b"/>
      <w:r>
        <w:t xml:space="preserve">1. Purpose and Scope</w:t>
      </w:r>
      <w:bookmarkEnd w:id="10"/>
    </w:p>
    <w:p>
      <w:pPr>
        <w:pStyle w:val="FirstParagraph"/>
      </w:pPr>
      <w:r>
        <w:t xml:space="preserve">1.1 This Code sets out the standards of behaviour expected of every employee of Indus Freight Lines (Pvt.) Ltd. (</w:t>
      </w:r>
      <w:r>
        <w:t xml:space="preserve">“the Company”</w:t>
      </w:r>
      <w:r>
        <w:t xml:space="preserve">), and the process the Company follows when those standards are not met.</w:t>
      </w:r>
    </w:p>
    <w:p>
      <w:pPr>
        <w:pStyle w:val="BodyText"/>
      </w:pPr>
      <w:r>
        <w:t xml:space="preserve">1.2 The Code applies at all Company premises (Karachi head office, Lahore warehouse, fleet yard and operations office), in Company vehicles, at customer sites, during business travel, and at Company events. It also applies outside working hours where conduct affects the Company, its customers or colleagues.</w:t>
      </w:r>
    </w:p>
    <w:p>
      <w:pPr>
        <w:pStyle w:val="BodyText"/>
      </w:pPr>
      <w:r>
        <w:t xml:space="preserve">1.3 Agency workers, contractors and visitors are expected to follow §4 and §10 while on Company premises. Breaches by them are handled under their contracts.</w:t>
      </w:r>
    </w:p>
    <w:p>
      <w:pPr>
        <w:pStyle w:val="BodyText"/>
      </w:pPr>
      <w:r>
        <w:t xml:space="preserve">1.4 This Code should be read with:</w:t>
      </w:r>
      <w:r>
        <w:t xml:space="preserve"> </w:t>
      </w:r>
      <w:r>
        <w:t xml:space="preserve">- IFL-HR-001 HR &amp; Leave Policy</w:t>
      </w:r>
      <w:r>
        <w:t xml:space="preserve"> </w:t>
      </w:r>
      <w:r>
        <w:t xml:space="preserve">- IFL-OPS-003 Driver Handbook</w:t>
      </w:r>
      <w:r>
        <w:t xml:space="preserve"> </w:t>
      </w:r>
      <w:r>
        <w:t xml:space="preserve">- IFL-SAF-004 Warehouse Safety SOPs</w:t>
      </w:r>
      <w:r>
        <w:t xml:space="preserve"> </w:t>
      </w:r>
      <w:r>
        <w:t xml:space="preserve">- IFL-SAF-005 Accident &amp; Incident Reporting Procedure</w:t>
      </w:r>
      <w:r>
        <w:t xml:space="preserve"> </w:t>
      </w:r>
      <w:r>
        <w:t xml:space="preserve">- IFL-IT-006 IT &amp; Acceptable Use Policy</w:t>
      </w:r>
      <w:r>
        <w:t xml:space="preserve"> </w:t>
      </w:r>
      <w:r>
        <w:t xml:space="preserve">- IFL-FIN-007 Expense &amp; Travel Reimbursement Policy (v2.0)</w:t>
      </w:r>
    </w:p>
    <w:p>
      <w:pPr>
        <w:pStyle w:val="Heading2"/>
      </w:pPr>
      <w:bookmarkStart w:id="11" w:name="_definitions"/>
      <w:r>
        <w:t xml:space="preserve">2. Definitions</w:t>
      </w:r>
      <w:bookmarkEnd w:id="11"/>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Business partner</w:t>
            </w:r>
          </w:p>
        </w:tc>
        <w:tc>
          <w:tcPr/>
          <w:p>
            <w:pPr>
              <w:pStyle w:val="Compact"/>
            </w:pPr>
            <w:r>
              <w:t xml:space="preserve">Any customer, vendor, subcontractor, landlord or service provider of the Company.</w:t>
            </w:r>
          </w:p>
        </w:tc>
      </w:tr>
      <w:tr>
        <w:tc>
          <w:tcPr/>
          <w:p>
            <w:pPr>
              <w:pStyle w:val="Compact"/>
            </w:pPr>
            <w:r>
              <w:t xml:space="preserve">Cash equivalent</w:t>
            </w:r>
          </w:p>
        </w:tc>
        <w:tc>
          <w:tcPr/>
          <w:p>
            <w:pPr>
              <w:pStyle w:val="Compact"/>
            </w:pPr>
            <w:r>
              <w:t xml:space="preserve">Gift cards, vouchers, prize bonds, mobile top-ups, fuel coupons or anything convertible to cash.</w:t>
            </w:r>
          </w:p>
        </w:tc>
      </w:tr>
      <w:tr>
        <w:tc>
          <w:tcPr/>
          <w:p>
            <w:pPr>
              <w:pStyle w:val="Compact"/>
            </w:pPr>
            <w:r>
              <w:t xml:space="preserve">Conflict of interest</w:t>
            </w:r>
          </w:p>
        </w:tc>
        <w:tc>
          <w:tcPr/>
          <w:p>
            <w:pPr>
              <w:pStyle w:val="Compact"/>
            </w:pPr>
            <w:r>
              <w:t xml:space="preserve">A situation where a personal interest could influence, or appear to influence, a work decision.</w:t>
            </w:r>
          </w:p>
        </w:tc>
      </w:tr>
      <w:tr>
        <w:tc>
          <w:tcPr/>
          <w:p>
            <w:pPr>
              <w:pStyle w:val="Compact"/>
            </w:pPr>
            <w:r>
              <w:t xml:space="preserve">Facilitation payment</w:t>
            </w:r>
          </w:p>
        </w:tc>
        <w:tc>
          <w:tcPr/>
          <w:p>
            <w:pPr>
              <w:pStyle w:val="Compact"/>
            </w:pPr>
            <w:r>
              <w:t xml:space="preserve">An unofficial payment to a public official to speed up or secure a routine action.</w:t>
            </w:r>
          </w:p>
        </w:tc>
      </w:tr>
      <w:tr>
        <w:tc>
          <w:tcPr/>
          <w:p>
            <w:pPr>
              <w:pStyle w:val="Compact"/>
            </w:pPr>
            <w:r>
              <w:t xml:space="preserve">Gross misconduct</w:t>
            </w:r>
          </w:p>
        </w:tc>
        <w:tc>
          <w:tcPr/>
          <w:p>
            <w:pPr>
              <w:pStyle w:val="Compact"/>
            </w:pPr>
            <w:r>
              <w:t xml:space="preserve">Misconduct serious enough to justify dismissal for a first offence (see §9.4).</w:t>
            </w:r>
          </w:p>
        </w:tc>
      </w:tr>
      <w:tr>
        <w:tc>
          <w:tcPr/>
          <w:p>
            <w:pPr>
              <w:pStyle w:val="Compact"/>
            </w:pPr>
            <w:r>
              <w:t xml:space="preserve">Relative</w:t>
            </w:r>
          </w:p>
        </w:tc>
        <w:tc>
          <w:tcPr/>
          <w:p>
            <w:pPr>
              <w:pStyle w:val="Compact"/>
            </w:pPr>
            <w:r>
              <w:t xml:space="preserve">Spouse, children, parents, siblings, in-laws, and first cousins.</w:t>
            </w:r>
          </w:p>
        </w:tc>
      </w:tr>
      <w:tr>
        <w:tc>
          <w:tcPr/>
          <w:p>
            <w:pPr>
              <w:pStyle w:val="Compact"/>
            </w:pPr>
            <w:r>
              <w:t xml:space="preserve">Show-cause notice</w:t>
            </w:r>
          </w:p>
        </w:tc>
        <w:tc>
          <w:tcPr/>
          <w:p>
            <w:pPr>
              <w:pStyle w:val="Compact"/>
            </w:pPr>
            <w:r>
              <w:t xml:space="preserve">A written notice asking an employee to explain alleged misconduct.</w:t>
            </w:r>
          </w:p>
        </w:tc>
      </w:tr>
      <w:tr>
        <w:tc>
          <w:tcPr/>
          <w:p>
            <w:pPr>
              <w:pStyle w:val="Compact"/>
            </w:pPr>
            <w:r>
              <w:t xml:space="preserve">Speak-Up</w:t>
            </w:r>
          </w:p>
        </w:tc>
        <w:tc>
          <w:tcPr/>
          <w:p>
            <w:pPr>
              <w:pStyle w:val="Compact"/>
            </w:pPr>
            <w:r>
              <w:t xml:space="preserve">The Company’s confidential channel for raising concerns (see §8).</w:t>
            </w:r>
          </w:p>
        </w:tc>
      </w:tr>
    </w:tbl>
    <w:p>
      <w:pPr>
        <w:pStyle w:val="Heading2"/>
      </w:pPr>
      <w:bookmarkStart w:id="12" w:name="_da21e2b8c36a1d1498ce0912ad192df1a61ab04"/>
      <w:r>
        <w:t xml:space="preserve">3. Core Principles</w:t>
      </w:r>
      <w:bookmarkEnd w:id="12"/>
    </w:p>
    <w:p>
      <w:pPr>
        <w:pStyle w:val="FirstParagraph"/>
      </w:pPr>
      <w:r>
        <w:t xml:space="preserve">3.1 Employees are expected to:</w:t>
      </w:r>
      <w:r>
        <w:t xml:space="preserve"> </w:t>
      </w:r>
      <w:r>
        <w:t xml:space="preserve">- act honestly and keep accurate records (trip sheets, duty logs, stock counts, expense claims);</w:t>
      </w:r>
      <w:r>
        <w:t xml:space="preserve"> </w:t>
      </w:r>
      <w:r>
        <w:t xml:space="preserve">- put safety before speed or delivery targets;</w:t>
      </w:r>
      <w:r>
        <w:t xml:space="preserve"> </w:t>
      </w:r>
      <w:r>
        <w:t xml:space="preserve">- treat colleagues, customers and the public with respect;</w:t>
      </w:r>
      <w:r>
        <w:t xml:space="preserve"> </w:t>
      </w:r>
      <w:r>
        <w:t xml:space="preserve">- protect Company property, customer goods and information;</w:t>
      </w:r>
      <w:r>
        <w:t xml:space="preserve"> </w:t>
      </w:r>
      <w:r>
        <w:t xml:space="preserve">- follow applicable law and Company policies;</w:t>
      </w:r>
      <w:r>
        <w:t xml:space="preserve"> </w:t>
      </w:r>
      <w:r>
        <w:t xml:space="preserve">- report concerns early, without fear of retaliation.</w:t>
      </w:r>
    </w:p>
    <w:p>
      <w:pPr>
        <w:pStyle w:val="BodyText"/>
      </w:pPr>
      <w:r>
        <w:t xml:space="preserve">3.2</w:t>
      </w:r>
      <w:r>
        <w:t xml:space="preserve"> </w:t>
      </w:r>
      <w:r>
        <w:rPr>
          <w:b/>
          <w:bCs/>
        </w:rPr>
        <w:t xml:space="preserve">Safety first.</w:t>
      </w:r>
      <w:r>
        <w:t xml:space="preserve"> </w:t>
      </w:r>
      <w:r>
        <w:t xml:space="preserve">No employee will be disciplined for refusing to carry out a task they reasonably believe is unsafe, provided they report the refusal to their supervisor or the HSE Manager (ext. 250) the same day.</w:t>
      </w:r>
    </w:p>
    <w:p>
      <w:pPr>
        <w:pStyle w:val="Heading2"/>
      </w:pPr>
      <w:bookmarkStart w:id="13" w:name="_9921f4e16bf9408977f373f4b707ff4d2c3379e"/>
      <w:r>
        <w:t xml:space="preserve">4. Workplace Behaviour</w:t>
      </w:r>
      <w:bookmarkEnd w:id="13"/>
    </w:p>
    <w:p>
      <w:pPr>
        <w:pStyle w:val="FirstParagraph"/>
      </w:pPr>
      <w:r>
        <w:t xml:space="preserve">4.1</w:t>
      </w:r>
      <w:r>
        <w:t xml:space="preserve"> </w:t>
      </w:r>
      <w:r>
        <w:rPr>
          <w:b/>
          <w:bCs/>
        </w:rPr>
        <w:t xml:space="preserve">Respect and non-discrimination.</w:t>
      </w:r>
      <w:r>
        <w:t xml:space="preserve"> </w:t>
      </w:r>
      <w:r>
        <w:t xml:space="preserve">Employees must not discriminate against or harass anyone on the basis of gender, religion, sect, ethnicity, language, disability, marital status or any other personal characteristic.</w:t>
      </w:r>
    </w:p>
    <w:p>
      <w:pPr>
        <w:pStyle w:val="BodyText"/>
      </w:pPr>
      <w:r>
        <w:t xml:space="preserve">4.2</w:t>
      </w:r>
      <w:r>
        <w:t xml:space="preserve"> </w:t>
      </w:r>
      <w:r>
        <w:rPr>
          <w:b/>
          <w:bCs/>
        </w:rPr>
        <w:t xml:space="preserve">Harassment</w:t>
      </w:r>
      <w:r>
        <w:t xml:space="preserve"> </w:t>
      </w:r>
      <w:r>
        <w:t xml:space="preserve">- 4.2.1 Harassment, including sexual harassment, bullying, threats and humiliating behaviour, is prohibited in person, by phone, and on messaging apps.</w:t>
      </w:r>
      <w:r>
        <w:t xml:space="preserve"> </w:t>
      </w:r>
      <w:r>
        <w:t xml:space="preserve">- 4.2.2 Complaints of harassment are handled by a 3-member Inquiry Committee nominated by the CEO, including at least one woman, as required by applicable law.</w:t>
      </w:r>
      <w:r>
        <w:t xml:space="preserve"> </w:t>
      </w:r>
      <w:r>
        <w:t xml:space="preserve">- 4.2.3 The Committee informs the accused in writing within 3 working days of receiving a complaint and completes its inquiry within 30 calendar days.</w:t>
      </w:r>
      <w:r>
        <w:t xml:space="preserve"> </w:t>
      </w:r>
      <w:r>
        <w:t xml:space="preserve">- 4.2.4 Complaints can be made to any Committee member, the HR Manager, or ethics@indusfreight.example.</w:t>
      </w:r>
    </w:p>
    <w:p>
      <w:pPr>
        <w:pStyle w:val="BodyText"/>
      </w:pPr>
      <w:r>
        <w:t xml:space="preserve">4.3</w:t>
      </w:r>
      <w:r>
        <w:t xml:space="preserve"> </w:t>
      </w:r>
      <w:r>
        <w:rPr>
          <w:b/>
          <w:bCs/>
        </w:rPr>
        <w:t xml:space="preserve">Alcohol, drugs and intoxicants</w:t>
      </w:r>
      <w:r>
        <w:t xml:space="preserve"> </w:t>
      </w:r>
      <w:r>
        <w:t xml:space="preserve">- 4.3.1 The Company has zero tolerance for alcohol, illegal drugs, or misuse of prescription medicines at work or in Company vehicles.</w:t>
      </w:r>
      <w:r>
        <w:t xml:space="preserve"> </w:t>
      </w:r>
      <w:r>
        <w:t xml:space="preserve">- 4.3.2 Drivers and forklift operators are subject to random testing (at least 4 random test days per year at the Lahore site) and to post-incident testing under IFL-SAF-005 §6.</w:t>
      </w:r>
      <w:r>
        <w:t xml:space="preserve"> </w:t>
      </w:r>
      <w:r>
        <w:t xml:space="preserve">- 4.3.3 Employees taking prescribed medicine that may cause drowsiness must inform their supervisor before starting work. They will be given non-driving or non-equipment duties without loss of pay for up to 5 working days.</w:t>
      </w:r>
    </w:p>
    <w:p>
      <w:pPr>
        <w:pStyle w:val="BodyText"/>
      </w:pPr>
      <w:r>
        <w:t xml:space="preserve">4.4</w:t>
      </w:r>
      <w:r>
        <w:t xml:space="preserve"> </w:t>
      </w:r>
      <w:r>
        <w:rPr>
          <w:b/>
          <w:bCs/>
        </w:rPr>
        <w:t xml:space="preserve">Smoking and naswar.</w:t>
      </w:r>
      <w:r>
        <w:t xml:space="preserve"> </w:t>
      </w:r>
      <w:r>
        <w:t xml:space="preserve">Smoking (including e-cigarettes) and naswar are prohibited inside the warehouse, in loading bays, in the fuel area, inside vehicles and in head office. Designated smoking points are at the Lahore yard gate and the head office ground-floor terrace.</w:t>
      </w:r>
    </w:p>
    <w:p>
      <w:pPr>
        <w:pStyle w:val="BodyText"/>
      </w:pPr>
      <w:r>
        <w:t xml:space="preserve">4.5</w:t>
      </w:r>
      <w:r>
        <w:t xml:space="preserve"> </w:t>
      </w:r>
      <w:r>
        <w:rPr>
          <w:b/>
          <w:bCs/>
        </w:rPr>
        <w:t xml:space="preserve">Dress and uniform</w:t>
      </w:r>
      <w:r>
        <w:t xml:space="preserve"> </w:t>
      </w:r>
      <w:r>
        <w:t xml:space="preserve">- 4.5.1 Warehouse, fleet and yard staff must wear the issued uniform and PPE at all times on site (see IFL-SAF-004 §2).</w:t>
      </w:r>
      <w:r>
        <w:t xml:space="preserve"> </w:t>
      </w:r>
      <w:r>
        <w:t xml:space="preserve">- 4.5.2 Drivers must wear the uniform shirt and carry their Company ID card when on duty.</w:t>
      </w:r>
      <w:r>
        <w:t xml:space="preserve"> </w:t>
      </w:r>
      <w:r>
        <w:t xml:space="preserve">- 4.5.3 Head office staff dress in modest business attire. Friday is business casual.</w:t>
      </w:r>
    </w:p>
    <w:p>
      <w:pPr>
        <w:pStyle w:val="BodyText"/>
      </w:pPr>
      <w:r>
        <w:t xml:space="preserve">4.6</w:t>
      </w:r>
      <w:r>
        <w:t xml:space="preserve"> </w:t>
      </w:r>
      <w:r>
        <w:rPr>
          <w:b/>
          <w:bCs/>
        </w:rPr>
        <w:t xml:space="preserve">Attendance and punctuality.</w:t>
      </w:r>
      <w:r>
        <w:t xml:space="preserve"> </w:t>
      </w:r>
      <w:r>
        <w:t xml:space="preserve">Rules on attendance, late arrival and unauthorised absence are in IFL-HR-001 §4.</w:t>
      </w:r>
    </w:p>
    <w:p>
      <w:pPr>
        <w:pStyle w:val="BodyText"/>
      </w:pPr>
      <w:r>
        <w:t xml:space="preserve">4.7</w:t>
      </w:r>
      <w:r>
        <w:t xml:space="preserve"> </w:t>
      </w:r>
      <w:r>
        <w:rPr>
          <w:b/>
          <w:bCs/>
        </w:rPr>
        <w:t xml:space="preserve">Mobile phones</w:t>
      </w:r>
      <w:r>
        <w:t xml:space="preserve"> </w:t>
      </w:r>
      <w:r>
        <w:t xml:space="preserve">- 4.7.1 Drivers must not use a handheld phone while the vehicle is moving. Hands-free calls are allowed only with the Dispatch Control Room (see IFL-OPS-003 §3.3).</w:t>
      </w:r>
      <w:r>
        <w:t xml:space="preserve"> </w:t>
      </w:r>
      <w:r>
        <w:t xml:space="preserve">- 4.7.2 Forklift operators must not use a phone while operating equipment.</w:t>
      </w:r>
      <w:r>
        <w:t xml:space="preserve"> </w:t>
      </w:r>
      <w:r>
        <w:t xml:space="preserve">- 4.7.3 Personal phones must not be used to photograph customer goods, documents or premises except for incident reporting or proof of delivery through the Company app.</w:t>
      </w:r>
    </w:p>
    <w:p>
      <w:pPr>
        <w:pStyle w:val="Heading2"/>
      </w:pPr>
      <w:bookmarkStart w:id="14" w:name="_ce73433e89afc27902f14cba7583f04156a1bb2"/>
      <w:r>
        <w:t xml:space="preserve">5. Conflicts of Interest</w:t>
      </w:r>
      <w:bookmarkEnd w:id="14"/>
    </w:p>
    <w:p>
      <w:pPr>
        <w:pStyle w:val="FirstParagraph"/>
      </w:pPr>
      <w:r>
        <w:t xml:space="preserve">5.1 Employees must avoid situations where their personal interests conflict with the Company’s. Examples include:</w:t>
      </w:r>
      <w:r>
        <w:t xml:space="preserve"> </w:t>
      </w:r>
      <w:r>
        <w:t xml:space="preserve">- owning, or having a relative who owns, a business that supplies the Company or competes with it;</w:t>
      </w:r>
      <w:r>
        <w:t xml:space="preserve"> </w:t>
      </w:r>
      <w:r>
        <w:t xml:space="preserve">- hiring, supervising or approving payments to a relative;</w:t>
      </w:r>
      <w:r>
        <w:t xml:space="preserve"> </w:t>
      </w:r>
      <w:r>
        <w:t xml:space="preserve">- using Company contacts or vehicles for a private transport business.</w:t>
      </w:r>
    </w:p>
    <w:p>
      <w:pPr>
        <w:pStyle w:val="BodyText"/>
      </w:pPr>
      <w:r>
        <w:t xml:space="preserve">5.2</w:t>
      </w:r>
      <w:r>
        <w:t xml:space="preserve"> </w:t>
      </w:r>
      <w:r>
        <w:rPr>
          <w:b/>
          <w:bCs/>
        </w:rPr>
        <w:t xml:space="preserve">Declaration.</w:t>
      </w:r>
      <w:r>
        <w:t xml:space="preserve"> </w:t>
      </w:r>
      <w:r>
        <w:t xml:space="preserve">Conflicts must be declared on Form HR-09 (Gift &amp; Conflict of Interest Declaration):</w:t>
      </w:r>
      <w:r>
        <w:t xml:space="preserve"> </w:t>
      </w:r>
      <w:r>
        <w:t xml:space="preserve">- within 7 days of joining;</w:t>
      </w:r>
      <w:r>
        <w:t xml:space="preserve"> </w:t>
      </w:r>
      <w:r>
        <w:t xml:space="preserve">- within 7 days of a new conflict arising;</w:t>
      </w:r>
      <w:r>
        <w:t xml:space="preserve"> </w:t>
      </w:r>
      <w:r>
        <w:t xml:space="preserve">- annually, by 31 January, by all G3–G5 employees and all employees involved in procurement, dispatch or vendor payments, even if they have nothing to declare (</w:t>
      </w:r>
      <w:r>
        <w:t xml:space="preserve">“nil declaration”</w:t>
      </w:r>
      <w:r>
        <w:t xml:space="preserve">).</w:t>
      </w:r>
    </w:p>
    <w:p>
      <w:pPr>
        <w:pStyle w:val="BodyText"/>
      </w:pPr>
      <w:r>
        <w:t xml:space="preserve">5.3</w:t>
      </w:r>
      <w:r>
        <w:t xml:space="preserve"> </w:t>
      </w:r>
      <w:r>
        <w:rPr>
          <w:b/>
          <w:bCs/>
        </w:rPr>
        <w:t xml:space="preserve">Procurement.</w:t>
      </w:r>
      <w:r>
        <w:t xml:space="preserve"> </w:t>
      </w:r>
      <w:r>
        <w:t xml:space="preserve">An employee with a declared interest in a vendor must not take part in selecting, evaluating or approving that vendor. The Procurement Officer refers such cases to the Finance Manager.</w:t>
      </w:r>
    </w:p>
    <w:p>
      <w:pPr>
        <w:pStyle w:val="BodyText"/>
      </w:pPr>
      <w:r>
        <w:t xml:space="preserve">5.4</w:t>
      </w:r>
      <w:r>
        <w:t xml:space="preserve"> </w:t>
      </w:r>
      <w:r>
        <w:rPr>
          <w:b/>
          <w:bCs/>
        </w:rPr>
        <w:t xml:space="preserve">Relatives at work.</w:t>
      </w:r>
      <w:r>
        <w:t xml:space="preserve"> </w:t>
      </w:r>
      <w:r>
        <w:t xml:space="preserve">Relatives may be employed, but no employee may directly supervise, appraise, or approve the leave or expenses of a relative. The HR Manager must approve any hiring where a relative already works in the same department.</w:t>
      </w:r>
    </w:p>
    <w:p>
      <w:pPr>
        <w:pStyle w:val="BodyText"/>
      </w:pPr>
      <w:r>
        <w:t xml:space="preserve">5.5</w:t>
      </w:r>
      <w:r>
        <w:t xml:space="preserve"> </w:t>
      </w:r>
      <w:r>
        <w:rPr>
          <w:b/>
          <w:bCs/>
        </w:rPr>
        <w:t xml:space="preserve">Outside employment</w:t>
      </w:r>
      <w:r>
        <w:t xml:space="preserve"> </w:t>
      </w:r>
      <w:r>
        <w:t xml:space="preserve">- 5.5.1 Secondary employment requires prior written approval from the HR Manager via Form HR-09.</w:t>
      </w:r>
      <w:r>
        <w:t xml:space="preserve"> </w:t>
      </w:r>
      <w:r>
        <w:t xml:space="preserve">- 5.5.2 Drivers may not undertake any paid driving work for another party. This applies even on days off, because it affects the rest requirements in IFL-OPS-003 §4.</w:t>
      </w:r>
      <w:r>
        <w:t xml:space="preserve"> </w:t>
      </w:r>
      <w:r>
        <w:t xml:space="preserve">- 5.5.3 Outside work must not use Company time, equipment, vehicles or information.</w:t>
      </w:r>
    </w:p>
    <w:p>
      <w:pPr>
        <w:pStyle w:val="Heading2"/>
      </w:pPr>
      <w:bookmarkStart w:id="15" w:name="_34f306005815ebeea606efd76e4e89b79628453"/>
      <w:r>
        <w:t xml:space="preserve">6. Gifts, Hospitality and Anti-Bribery</w:t>
      </w:r>
      <w:bookmarkEnd w:id="15"/>
    </w:p>
    <w:p>
      <w:pPr>
        <w:pStyle w:val="FirstParagraph"/>
      </w:pPr>
      <w:r>
        <w:t xml:space="preserve">6.1 Employees must never offer, give, request or accept a bribe, kickback or improper advantage of any kind.</w:t>
      </w:r>
    </w:p>
    <w:p>
      <w:pPr>
        <w:pStyle w:val="BodyText"/>
      </w:pPr>
      <w:r>
        <w:t xml:space="preserve">6.2</w:t>
      </w:r>
      <w:r>
        <w:t xml:space="preserve"> </w:t>
      </w:r>
      <w:r>
        <w:rPr>
          <w:b/>
          <w:bCs/>
        </w:rPr>
        <w:t xml:space="preserve">Gifts and hospitality limits</w:t>
      </w:r>
    </w:p>
    <w:p>
      <w:pPr>
        <w:pStyle w:val="BodyText"/>
      </w:pPr>
      <w:r>
        <w:rPr>
          <w:b/>
          <w:bCs/>
        </w:rPr>
        <w:t xml:space="preserve">Table 6.2 – Gifts and hospitality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Limit (PKR, per occasion)</w:t>
            </w:r>
          </w:p>
        </w:tc>
        <w:tc>
          <w:tcPr/>
          <w:p>
            <w:pPr>
              <w:pStyle w:val="Compact"/>
            </w:pPr>
            <w:r>
              <w:t xml:space="preserve">Action required</w:t>
            </w:r>
          </w:p>
        </w:tc>
      </w:tr>
      <w:tr>
        <w:tc>
          <w:tcPr/>
          <w:p>
            <w:pPr>
              <w:pStyle w:val="Compact"/>
            </w:pPr>
            <w:r>
              <w:t xml:space="preserve">Gift received from business partner</w:t>
            </w:r>
          </w:p>
        </w:tc>
        <w:tc>
          <w:tcPr/>
          <w:p>
            <w:pPr>
              <w:pStyle w:val="Compact"/>
            </w:pPr>
            <w:r>
              <w:t xml:space="preserve">Up to 5,000</w:t>
            </w:r>
          </w:p>
        </w:tc>
        <w:tc>
          <w:tcPr/>
          <w:p>
            <w:pPr>
              <w:pStyle w:val="Compact"/>
            </w:pPr>
            <w:r>
              <w:t xml:space="preserve">May accept; no declaration</w:t>
            </w:r>
          </w:p>
        </w:tc>
      </w:tr>
      <w:tr>
        <w:tc>
          <w:tcPr/>
          <w:p>
            <w:pPr>
              <w:pStyle w:val="Compact"/>
            </w:pPr>
            <w:r>
              <w:t xml:space="preserve">Gift received from business partner</w:t>
            </w:r>
          </w:p>
        </w:tc>
        <w:tc>
          <w:tcPr/>
          <w:p>
            <w:pPr>
              <w:pStyle w:val="Compact"/>
            </w:pPr>
            <w:r>
              <w:t xml:space="preserve">5,001 – 15,000</w:t>
            </w:r>
          </w:p>
        </w:tc>
        <w:tc>
          <w:tcPr/>
          <w:p>
            <w:pPr>
              <w:pStyle w:val="Compact"/>
            </w:pPr>
            <w:r>
              <w:t xml:space="preserve">Declare on HR-09 within 5 working days; line manager decides whether it is kept, shared or returned</w:t>
            </w:r>
          </w:p>
        </w:tc>
      </w:tr>
      <w:tr>
        <w:tc>
          <w:tcPr/>
          <w:p>
            <w:pPr>
              <w:pStyle w:val="Compact"/>
            </w:pPr>
            <w:r>
              <w:t xml:space="preserve">Gift received from business partner</w:t>
            </w:r>
          </w:p>
        </w:tc>
        <w:tc>
          <w:tcPr/>
          <w:p>
            <w:pPr>
              <w:pStyle w:val="Compact"/>
            </w:pPr>
            <w:r>
              <w:t xml:space="preserve">Above 15,000</w:t>
            </w:r>
          </w:p>
        </w:tc>
        <w:tc>
          <w:tcPr/>
          <w:p>
            <w:pPr>
              <w:pStyle w:val="Compact"/>
            </w:pPr>
            <w:r>
              <w:t xml:space="preserve">Must decline, or surrender to HR if declining would cause offence</w:t>
            </w:r>
          </w:p>
        </w:tc>
      </w:tr>
      <w:tr>
        <w:tc>
          <w:tcPr/>
          <w:p>
            <w:pPr>
              <w:pStyle w:val="Compact"/>
            </w:pPr>
            <w:r>
              <w:t xml:space="preserve">Eid perishable gift boxes (sweets, fruit, dry fruit)</w:t>
            </w:r>
          </w:p>
        </w:tc>
        <w:tc>
          <w:tcPr/>
          <w:p>
            <w:pPr>
              <w:pStyle w:val="Compact"/>
            </w:pPr>
            <w:r>
              <w:t xml:space="preserve">Up to 8,000</w:t>
            </w:r>
          </w:p>
        </w:tc>
        <w:tc>
          <w:tcPr/>
          <w:p>
            <w:pPr>
              <w:pStyle w:val="Compact"/>
            </w:pPr>
            <w:r>
              <w:t xml:space="preserve">May accept; no declaration</w:t>
            </w:r>
          </w:p>
        </w:tc>
      </w:tr>
      <w:tr>
        <w:tc>
          <w:tcPr/>
          <w:p>
            <w:pPr>
              <w:pStyle w:val="Compact"/>
            </w:pPr>
            <w:r>
              <w:t xml:space="preserve">Cash or cash equivalent</w:t>
            </w:r>
          </w:p>
        </w:tc>
        <w:tc>
          <w:tcPr/>
          <w:p>
            <w:pPr>
              <w:pStyle w:val="Compact"/>
            </w:pPr>
            <w:r>
              <w:t xml:space="preserve">Any amount</w:t>
            </w:r>
          </w:p>
        </w:tc>
        <w:tc>
          <w:tcPr/>
          <w:p>
            <w:pPr>
              <w:pStyle w:val="Compact"/>
            </w:pPr>
            <w:r>
              <w:t xml:space="preserve">Prohibited; must be returned</w:t>
            </w:r>
          </w:p>
        </w:tc>
      </w:tr>
      <w:tr>
        <w:tc>
          <w:tcPr/>
          <w:p>
            <w:pPr>
              <w:pStyle w:val="Compact"/>
            </w:pPr>
            <w:r>
              <w:t xml:space="preserve">Hospitality (meals, events) received or given</w:t>
            </w:r>
          </w:p>
        </w:tc>
        <w:tc>
          <w:tcPr/>
          <w:p>
            <w:pPr>
              <w:pStyle w:val="Compact"/>
            </w:pPr>
            <w:r>
              <w:t xml:space="preserve">Up to 10,000 per person</w:t>
            </w:r>
          </w:p>
        </w:tc>
        <w:tc>
          <w:tcPr/>
          <w:p>
            <w:pPr>
              <w:pStyle w:val="Compact"/>
            </w:pPr>
            <w:r>
              <w:t xml:space="preserve">Allowed if there is a clear business purpose</w:t>
            </w:r>
          </w:p>
        </w:tc>
      </w:tr>
      <w:tr>
        <w:tc>
          <w:tcPr/>
          <w:p>
            <w:pPr>
              <w:pStyle w:val="Compact"/>
            </w:pPr>
            <w:r>
              <w:t xml:space="preserve">Hospitality above limit</w:t>
            </w:r>
          </w:p>
        </w:tc>
        <w:tc>
          <w:tcPr/>
          <w:p>
            <w:pPr>
              <w:pStyle w:val="Compact"/>
            </w:pPr>
            <w:r>
              <w:t xml:space="preserve">Above 10,000 per person</w:t>
            </w:r>
          </w:p>
        </w:tc>
        <w:tc>
          <w:tcPr/>
          <w:p>
            <w:pPr>
              <w:pStyle w:val="Compact"/>
            </w:pPr>
            <w:r>
              <w:t xml:space="preserve">Department manager approval in advance</w:t>
            </w:r>
          </w:p>
        </w:tc>
      </w:tr>
      <w:tr>
        <w:tc>
          <w:tcPr/>
          <w:p>
            <w:pPr>
              <w:pStyle w:val="Compact"/>
            </w:pPr>
            <w:r>
              <w:t xml:space="preserve">Any gift or hospitality to a government official</w:t>
            </w:r>
          </w:p>
        </w:tc>
        <w:tc>
          <w:tcPr/>
          <w:p>
            <w:pPr>
              <w:pStyle w:val="Compact"/>
            </w:pPr>
            <w:r>
              <w:t xml:space="preserve">Any amount</w:t>
            </w:r>
          </w:p>
        </w:tc>
        <w:tc>
          <w:tcPr/>
          <w:p>
            <w:pPr>
              <w:pStyle w:val="Compact"/>
            </w:pPr>
            <w:r>
              <w:t xml:space="preserve">Prohibited without prior COO approval</w:t>
            </w:r>
          </w:p>
        </w:tc>
      </w:tr>
    </w:tbl>
    <w:p>
      <w:pPr>
        <w:pStyle w:val="FirstParagraph"/>
      </w:pPr>
      <w:r>
        <w:t xml:space="preserve">6.3</w:t>
      </w:r>
      <w:r>
        <w:t xml:space="preserve"> </w:t>
      </w:r>
      <w:r>
        <w:rPr>
          <w:b/>
          <w:bCs/>
        </w:rPr>
        <w:t xml:space="preserve">Annual cap.</w:t>
      </w:r>
      <w:r>
        <w:t xml:space="preserve"> </w:t>
      </w:r>
      <w:r>
        <w:t xml:space="preserve">Regardless of the per-occasion limits, an employee may not accept gifts from the same business partner more than 3 times in a leave year. Any further gift must be declared on HR-09, whatever its value.</w:t>
      </w:r>
    </w:p>
    <w:p>
      <w:pPr>
        <w:pStyle w:val="BodyText"/>
      </w:pPr>
      <w:r>
        <w:t xml:space="preserve">6.4</w:t>
      </w:r>
      <w:r>
        <w:t xml:space="preserve"> </w:t>
      </w:r>
      <w:r>
        <w:rPr>
          <w:b/>
          <w:bCs/>
        </w:rPr>
        <w:t xml:space="preserve">Tenders.</w:t>
      </w:r>
      <w:r>
        <w:t xml:space="preserve"> </w:t>
      </w:r>
      <w:r>
        <w:t xml:space="preserve">No gift or hospitality of any value may be accepted from a vendor taking part in an open tender or quotation process with the Company, from the request date until the contract is awarded.</w:t>
      </w:r>
    </w:p>
    <w:p>
      <w:pPr>
        <w:pStyle w:val="BodyText"/>
      </w:pPr>
      <w:r>
        <w:t xml:space="preserve">6.5</w:t>
      </w:r>
      <w:r>
        <w:t xml:space="preserve"> </w:t>
      </w:r>
      <w:r>
        <w:rPr>
          <w:b/>
          <w:bCs/>
        </w:rPr>
        <w:t xml:space="preserve">Facilitation payments</w:t>
      </w:r>
      <w:r>
        <w:t xml:space="preserve"> </w:t>
      </w:r>
      <w:r>
        <w:t xml:space="preserve">- 6.5.1 Facilitation payments are prohibited, including at police checkposts, weigh stations, toll plazas and municipal offices.</w:t>
      </w:r>
      <w:r>
        <w:t xml:space="preserve"> </w:t>
      </w:r>
      <w:r>
        <w:t xml:space="preserve">- 6.5.2 Drivers may pay only official tolls and official fines for which a printed or electronic receipt is issued. Fines are reported on Form FLT-06 under IFL-OPS-003 §7.</w:t>
      </w:r>
      <w:r>
        <w:t xml:space="preserve"> </w:t>
      </w:r>
      <w:r>
        <w:t xml:space="preserve">- 6.5.3 If an unofficial payment is demanded, the driver must not pay and must inform the Dispatch Control Room (ext. 222) as soon as it is safe. A written note must be submitted to the Fleet Manager within 24 hours.</w:t>
      </w:r>
      <w:r>
        <w:t xml:space="preserve"> </w:t>
      </w:r>
      <w:r>
        <w:t xml:space="preserve">- 6.5.4</w:t>
      </w:r>
      <w:r>
        <w:t xml:space="preserve"> </w:t>
      </w:r>
      <w:r>
        <w:rPr>
          <w:b/>
          <w:bCs/>
        </w:rPr>
        <w:t xml:space="preserve">Exception – personal safety.</w:t>
      </w:r>
      <w:r>
        <w:t xml:space="preserve"> </w:t>
      </w:r>
      <w:r>
        <w:t xml:space="preserve">If a driver faces a direct threat to personal safety, they may make the payment demanded. They must report it to the Control Room within 2 hours and will not be disciplined. The amount is recorded by Finance but is not reimbursed as a business expense under IFL-FIN-007.</w:t>
      </w:r>
    </w:p>
    <w:p>
      <w:pPr>
        <w:pStyle w:val="Heading2"/>
      </w:pPr>
      <w:bookmarkStart w:id="16" w:name="_c6caad24bac2feb149c99f78082bbbcd3a7b146"/>
      <w:r>
        <w:t xml:space="preserve">7. Company Assets, Information and Records</w:t>
      </w:r>
      <w:bookmarkEnd w:id="16"/>
    </w:p>
    <w:p>
      <w:pPr>
        <w:pStyle w:val="FirstParagraph"/>
      </w:pPr>
      <w:r>
        <w:t xml:space="preserve">7.1</w:t>
      </w:r>
      <w:r>
        <w:t xml:space="preserve"> </w:t>
      </w:r>
      <w:r>
        <w:rPr>
          <w:b/>
          <w:bCs/>
        </w:rPr>
        <w:t xml:space="preserve">Company property.</w:t>
      </w:r>
      <w:r>
        <w:t xml:space="preserve"> </w:t>
      </w:r>
      <w:r>
        <w:t xml:space="preserve">Vehicles, fuel cards, tools, forklifts, laptops, phones and customer goods must be used only for Company business. Misuse of fuel cards is covered by IFL-OPS-003 §6.</w:t>
      </w:r>
    </w:p>
    <w:p>
      <w:pPr>
        <w:pStyle w:val="BodyText"/>
      </w:pPr>
      <w:r>
        <w:t xml:space="preserve">7.2</w:t>
      </w:r>
      <w:r>
        <w:t xml:space="preserve"> </w:t>
      </w:r>
      <w:r>
        <w:rPr>
          <w:b/>
          <w:bCs/>
        </w:rPr>
        <w:t xml:space="preserve">Vehicles.</w:t>
      </w:r>
      <w:r>
        <w:t xml:space="preserve"> </w:t>
      </w:r>
      <w:r>
        <w:t xml:space="preserve">Company vehicles must not be used for personal trips or to carry unauthorised passengers or goods. Drivers may carry a passenger only with written authorisation from the Dispatch Supervisor recorded on the trip sheet.</w:t>
      </w:r>
    </w:p>
    <w:p>
      <w:pPr>
        <w:pStyle w:val="BodyText"/>
      </w:pPr>
      <w:r>
        <w:t xml:space="preserve">7.3</w:t>
      </w:r>
      <w:r>
        <w:t xml:space="preserve"> </w:t>
      </w:r>
      <w:r>
        <w:rPr>
          <w:b/>
          <w:bCs/>
        </w:rPr>
        <w:t xml:space="preserve">Confidential information.</w:t>
      </w:r>
      <w:r>
        <w:t xml:space="preserve"> </w:t>
      </w:r>
      <w:r>
        <w:t xml:space="preserve">Customer lists, rates, routes, shipment contents, employee data and financial information are confidential. They must not be shared outside the Company except as required for work or by law. This duty continues for 2 years after employment ends.</w:t>
      </w:r>
    </w:p>
    <w:p>
      <w:pPr>
        <w:pStyle w:val="BodyText"/>
      </w:pPr>
      <w:r>
        <w:t xml:space="preserve">7.4</w:t>
      </w:r>
      <w:r>
        <w:t xml:space="preserve"> </w:t>
      </w:r>
      <w:r>
        <w:rPr>
          <w:b/>
          <w:bCs/>
        </w:rPr>
        <w:t xml:space="preserve">IT and social media.</w:t>
      </w:r>
      <w:r>
        <w:t xml:space="preserve"> </w:t>
      </w:r>
      <w:r>
        <w:t xml:space="preserve">Use of Company systems, email and social media is governed by IFL-IT-006. Employees must not post photos of customer consignments, vehicles carrying customer goods, or warehouse interiors on social media.</w:t>
      </w:r>
    </w:p>
    <w:p>
      <w:pPr>
        <w:pStyle w:val="BodyText"/>
      </w:pPr>
      <w:r>
        <w:t xml:space="preserve">7.5</w:t>
      </w:r>
      <w:r>
        <w:t xml:space="preserve"> </w:t>
      </w:r>
      <w:r>
        <w:rPr>
          <w:b/>
          <w:bCs/>
        </w:rPr>
        <w:t xml:space="preserve">Accurate records.</w:t>
      </w:r>
      <w:r>
        <w:t xml:space="preserve"> </w:t>
      </w:r>
      <w:r>
        <w:t xml:space="preserve">Falsifying any record is a serious breach. This includes duty logs (FLT-02), inspection checklists (FLT-01, WHS-01), timesheets, stock counts, delivery confirmations and expense claims.</w:t>
      </w:r>
    </w:p>
    <w:p>
      <w:pPr>
        <w:pStyle w:val="BodyText"/>
      </w:pPr>
      <w:r>
        <w:t xml:space="preserve">7.6</w:t>
      </w:r>
      <w:r>
        <w:t xml:space="preserve"> </w:t>
      </w:r>
      <w:r>
        <w:rPr>
          <w:b/>
          <w:bCs/>
        </w:rPr>
        <w:t xml:space="preserve">Media.</w:t>
      </w:r>
      <w:r>
        <w:t xml:space="preserve"> </w:t>
      </w:r>
      <w:r>
        <w:t xml:space="preserve">Only the CEO or a person nominated by the CEO may speak to the media on behalf of the Company. Requests are passed to the Executive Assistant (Karachi, ext. 100).</w:t>
      </w:r>
    </w:p>
    <w:p>
      <w:pPr>
        <w:pStyle w:val="Heading2"/>
      </w:pPr>
      <w:bookmarkStart w:id="17" w:name="_da9bd376610589132e1912b114038021b819b5b"/>
      <w:r>
        <w:t xml:space="preserve">8. Speak-Up (Raising Concerns)</w:t>
      </w:r>
      <w:bookmarkEnd w:id="17"/>
    </w:p>
    <w:p>
      <w:pPr>
        <w:pStyle w:val="FirstParagraph"/>
      </w:pPr>
      <w:r>
        <w:t xml:space="preserve">8.1 Employees are encouraged to report suspected breaches of this Code, of law, or of safety rules.</w:t>
      </w:r>
    </w:p>
    <w:p>
      <w:pPr>
        <w:pStyle w:val="BodyText"/>
      </w:pPr>
      <w:r>
        <w:t xml:space="preserve">8.2</w:t>
      </w:r>
      <w:r>
        <w:t xml:space="preserve"> </w:t>
      </w:r>
      <w:r>
        <w:rPr>
          <w:b/>
          <w:bCs/>
        </w:rPr>
        <w:t xml:space="preserve">Channels</w:t>
      </w:r>
      <w:r>
        <w:t xml:space="preserve"> </w:t>
      </w:r>
      <w:r>
        <w:t xml:space="preserve">- Line manager or department manager</w:t>
      </w:r>
      <w:r>
        <w:t xml:space="preserve"> </w:t>
      </w:r>
      <w:r>
        <w:t xml:space="preserve">- HR Manager (ext. 110, hr@indusfreight.example)</w:t>
      </w:r>
      <w:r>
        <w:t xml:space="preserve"> </w:t>
      </w:r>
      <w:r>
        <w:t xml:space="preserve">- HSE Manager for safety concerns (ext. 250, safety@indusfreight.example)</w:t>
      </w:r>
      <w:r>
        <w:t xml:space="preserve"> </w:t>
      </w:r>
      <w:r>
        <w:t xml:space="preserve">- Confidential Speak-Up mailbox: ethics@indusfreight.example, monitored by the HR Manager and the Finance Manager</w:t>
      </w:r>
      <w:r>
        <w:t xml:space="preserve"> </w:t>
      </w:r>
      <w:r>
        <w:t xml:space="preserve">- If a concern involves the HR Manager or the Finance Manager, it may be sent directly to the COO in a sealed envelope marked</w:t>
      </w:r>
      <w:r>
        <w:t xml:space="preserve"> </w:t>
      </w:r>
      <w:r>
        <w:t xml:space="preserve">“Confidential – Speak-Up”</w:t>
      </w:r>
      <w:r>
        <w:t xml:space="preserve">.</w:t>
      </w:r>
    </w:p>
    <w:p>
      <w:pPr>
        <w:pStyle w:val="BodyText"/>
      </w:pPr>
      <w:r>
        <w:t xml:space="preserve">8.3</w:t>
      </w:r>
      <w:r>
        <w:t xml:space="preserve"> </w:t>
      </w:r>
      <w:r>
        <w:rPr>
          <w:b/>
          <w:bCs/>
        </w:rPr>
        <w:t xml:space="preserve">Anonymous reports</w:t>
      </w:r>
      <w:r>
        <w:t xml:space="preserve"> </w:t>
      </w:r>
      <w:r>
        <w:t xml:space="preserve">are accepted. However, the Company may be unable to investigate fully if it cannot ask for more information.</w:t>
      </w:r>
    </w:p>
    <w:p>
      <w:pPr>
        <w:pStyle w:val="BodyText"/>
      </w:pPr>
      <w:r>
        <w:t xml:space="preserve">8.4</w:t>
      </w:r>
      <w:r>
        <w:t xml:space="preserve"> </w:t>
      </w:r>
      <w:r>
        <w:rPr>
          <w:b/>
          <w:bCs/>
        </w:rPr>
        <w:t xml:space="preserve">Timelines.</w:t>
      </w:r>
      <w:r>
        <w:t xml:space="preserve"> </w:t>
      </w:r>
      <w:r>
        <w:t xml:space="preserve">Speak-Up reports are acknowledged within 3 working days (where a reply address is available). A preliminary review is completed within 10 working days.</w:t>
      </w:r>
    </w:p>
    <w:p>
      <w:pPr>
        <w:pStyle w:val="BodyText"/>
      </w:pPr>
      <w:r>
        <w:t xml:space="preserve">8.5</w:t>
      </w:r>
      <w:r>
        <w:t xml:space="preserve"> </w:t>
      </w:r>
      <w:r>
        <w:rPr>
          <w:b/>
          <w:bCs/>
        </w:rPr>
        <w:t xml:space="preserve">Non-retaliation.</w:t>
      </w:r>
      <w:r>
        <w:t xml:space="preserve"> </w:t>
      </w:r>
      <w:r>
        <w:t xml:space="preserve">No employee may be dismissed, demoted, given less favourable routes or shifts, or otherwise penalised for raising a concern in good faith. Retaliation is treated as gross misconduct (§9.4).</w:t>
      </w:r>
    </w:p>
    <w:p>
      <w:pPr>
        <w:pStyle w:val="BodyText"/>
      </w:pPr>
      <w:r>
        <w:t xml:space="preserve">8.6</w:t>
      </w:r>
      <w:r>
        <w:t xml:space="preserve"> </w:t>
      </w:r>
      <w:r>
        <w:rPr>
          <w:b/>
          <w:bCs/>
        </w:rPr>
        <w:t xml:space="preserve">False reports.</w:t>
      </w:r>
      <w:r>
        <w:t xml:space="preserve"> </w:t>
      </w:r>
      <w:r>
        <w:t xml:space="preserve">Knowingly making a false report is a disciplinary offence. Reports made in good faith that turn out to be mistaken are not.</w:t>
      </w:r>
    </w:p>
    <w:p>
      <w:pPr>
        <w:pStyle w:val="Heading2"/>
      </w:pPr>
      <w:bookmarkStart w:id="18" w:name="_9814c05c8041155eba0c92edc28eaf61d8ce3e8"/>
      <w:r>
        <w:t xml:space="preserve">9. Disciplinary Process</w:t>
      </w:r>
      <w:bookmarkEnd w:id="18"/>
    </w:p>
    <w:p>
      <w:pPr>
        <w:pStyle w:val="FirstParagraph"/>
      </w:pPr>
      <w:r>
        <w:t xml:space="preserve">9.1</w:t>
      </w:r>
      <w:r>
        <w:t xml:space="preserve"> </w:t>
      </w:r>
      <w:r>
        <w:rPr>
          <w:b/>
          <w:bCs/>
        </w:rPr>
        <w:t xml:space="preserve">Principles.</w:t>
      </w:r>
      <w:r>
        <w:t xml:space="preserve"> </w:t>
      </w:r>
      <w:r>
        <w:t xml:space="preserve">Disciplinary action is fair, consistent and proportionate. Employees have the right to know the allegation, respond to it, and be accompanied at a hearing by a colleague of their choice.</w:t>
      </w:r>
    </w:p>
    <w:p>
      <w:pPr>
        <w:pStyle w:val="BodyText"/>
      </w:pPr>
      <w:r>
        <w:t xml:space="preserve">9.2</w:t>
      </w:r>
      <w:r>
        <w:t xml:space="preserve"> </w:t>
      </w:r>
      <w:r>
        <w:rPr>
          <w:b/>
          <w:bCs/>
        </w:rPr>
        <w:t xml:space="preserve">Sanctions</w:t>
      </w:r>
    </w:p>
    <w:p>
      <w:pPr>
        <w:pStyle w:val="BodyText"/>
      </w:pPr>
      <w:r>
        <w:rPr>
          <w:b/>
          <w:bCs/>
        </w:rPr>
        <w:t xml:space="preserve">Table 9.2 – Sanctions, validity and authority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Sanction</w:t>
            </w:r>
          </w:p>
        </w:tc>
        <w:tc>
          <w:tcPr/>
          <w:p>
            <w:pPr>
              <w:pStyle w:val="Compact"/>
            </w:pPr>
            <w:r>
              <w:t xml:space="preserve">Validity on record</w:t>
            </w:r>
          </w:p>
        </w:tc>
        <w:tc>
          <w:tcPr/>
          <w:p>
            <w:pPr>
              <w:pStyle w:val="Compact"/>
            </w:pPr>
            <w:r>
              <w:t xml:space="preserve">Issued by (G1–G3)</w:t>
            </w:r>
          </w:p>
        </w:tc>
        <w:tc>
          <w:tcPr/>
          <w:p>
            <w:pPr>
              <w:pStyle w:val="Compact"/>
            </w:pPr>
            <w:r>
              <w:t xml:space="preserve">Issued by (G4)</w:t>
            </w:r>
          </w:p>
        </w:tc>
      </w:tr>
      <w:tr>
        <w:tc>
          <w:tcPr/>
          <w:p>
            <w:pPr>
              <w:pStyle w:val="Compact"/>
            </w:pPr>
            <w:r>
              <w:t xml:space="preserve">Verbal warning (recorded)</w:t>
            </w:r>
          </w:p>
        </w:tc>
        <w:tc>
          <w:tcPr/>
          <w:p>
            <w:pPr>
              <w:pStyle w:val="Compact"/>
            </w:pPr>
            <w:r>
              <w:t xml:space="preserve">6 months</w:t>
            </w:r>
          </w:p>
        </w:tc>
        <w:tc>
          <w:tcPr/>
          <w:p>
            <w:pPr>
              <w:pStyle w:val="Compact"/>
            </w:pPr>
            <w:r>
              <w:t xml:space="preserve">Line manager</w:t>
            </w:r>
          </w:p>
        </w:tc>
        <w:tc>
          <w:tcPr/>
          <w:p>
            <w:pPr>
              <w:pStyle w:val="Compact"/>
            </w:pPr>
            <w:r>
              <w:t xml:space="preserve">COO</w:t>
            </w:r>
          </w:p>
        </w:tc>
      </w:tr>
      <w:tr>
        <w:tc>
          <w:tcPr/>
          <w:p>
            <w:pPr>
              <w:pStyle w:val="Compact"/>
            </w:pPr>
            <w:r>
              <w:t xml:space="preserve">Written warning</w:t>
            </w:r>
          </w:p>
        </w:tc>
        <w:tc>
          <w:tcPr/>
          <w:p>
            <w:pPr>
              <w:pStyle w:val="Compact"/>
            </w:pPr>
            <w:r>
              <w:t xml:space="preserve">12 months</w:t>
            </w:r>
          </w:p>
        </w:tc>
        <w:tc>
          <w:tcPr/>
          <w:p>
            <w:pPr>
              <w:pStyle w:val="Compact"/>
            </w:pPr>
            <w:r>
              <w:t xml:space="preserve">Department manager, with HR</w:t>
            </w:r>
          </w:p>
        </w:tc>
        <w:tc>
          <w:tcPr/>
          <w:p>
            <w:pPr>
              <w:pStyle w:val="Compact"/>
            </w:pPr>
            <w:r>
              <w:t xml:space="preserve">COO</w:t>
            </w:r>
          </w:p>
        </w:tc>
      </w:tr>
      <w:tr>
        <w:tc>
          <w:tcPr/>
          <w:p>
            <w:pPr>
              <w:pStyle w:val="Compact"/>
            </w:pPr>
            <w:r>
              <w:t xml:space="preserve">Final written warning</w:t>
            </w:r>
          </w:p>
        </w:tc>
        <w:tc>
          <w:tcPr/>
          <w:p>
            <w:pPr>
              <w:pStyle w:val="Compact"/>
            </w:pPr>
            <w:r>
              <w:t xml:space="preserve">18 months</w:t>
            </w:r>
          </w:p>
        </w:tc>
        <w:tc>
          <w:tcPr/>
          <w:p>
            <w:pPr>
              <w:pStyle w:val="Compact"/>
            </w:pPr>
            <w:r>
              <w:t xml:space="preserve">Department manager + HR Manager</w:t>
            </w:r>
          </w:p>
        </w:tc>
        <w:tc>
          <w:tcPr/>
          <w:p>
            <w:pPr>
              <w:pStyle w:val="Compact"/>
            </w:pPr>
            <w:r>
              <w:t xml:space="preserve">COO</w:t>
            </w:r>
          </w:p>
        </w:tc>
      </w:tr>
      <w:tr>
        <w:tc>
          <w:tcPr/>
          <w:p>
            <w:pPr>
              <w:pStyle w:val="Compact"/>
            </w:pPr>
            <w:r>
              <w:t xml:space="preserve">Dismissal</w:t>
            </w:r>
          </w:p>
        </w:tc>
        <w:tc>
          <w:tcPr/>
          <w:p>
            <w:pPr>
              <w:pStyle w:val="Compact"/>
            </w:pPr>
            <w:r>
              <w:t xml:space="preserve">Permanent</w:t>
            </w:r>
          </w:p>
        </w:tc>
        <w:tc>
          <w:tcPr/>
          <w:p>
            <w:pPr>
              <w:pStyle w:val="Compact"/>
            </w:pPr>
            <w:r>
              <w:t xml:space="preserve">COO</w:t>
            </w:r>
          </w:p>
        </w:tc>
        <w:tc>
          <w:tcPr/>
          <w:p>
            <w:pPr>
              <w:pStyle w:val="Compact"/>
            </w:pPr>
            <w:r>
              <w:t xml:space="preserve">CEO</w:t>
            </w:r>
          </w:p>
        </w:tc>
      </w:tr>
    </w:tbl>
    <w:p>
      <w:pPr>
        <w:pStyle w:val="FirstParagraph"/>
      </w:pPr>
      <w:r>
        <w:t xml:space="preserve">9.2.1 Other actions may be combined with a warning, including removal from driving or equipment duties, withdrawal of fuel card, withholding of an annual increment, or recovery of losses caused by proven negligence.</w:t>
      </w:r>
    </w:p>
    <w:p>
      <w:pPr>
        <w:pStyle w:val="BodyText"/>
      </w:pPr>
      <w:r>
        <w:t xml:space="preserve">9.2.2 Recovery of losses from salary must not exceed 25% of monthly net salary in any month.</w:t>
      </w:r>
    </w:p>
    <w:p>
      <w:pPr>
        <w:pStyle w:val="BodyText"/>
      </w:pPr>
      <w:r>
        <w:t xml:space="preserve">9.2.3 The validity period of a warning is paused during any unpaid leave of more than 15 consecutive working days, and resumes on return to work.</w:t>
      </w:r>
    </w:p>
    <w:p>
      <w:pPr>
        <w:pStyle w:val="BodyText"/>
      </w:pPr>
      <w:r>
        <w:t xml:space="preserve">9.3</w:t>
      </w:r>
      <w:r>
        <w:t xml:space="preserve"> </w:t>
      </w:r>
      <w:r>
        <w:rPr>
          <w:b/>
          <w:bCs/>
        </w:rPr>
        <w:t xml:space="preserve">Procedure</w:t>
      </w:r>
      <w:r>
        <w:t xml:space="preserve"> </w:t>
      </w:r>
      <w:r>
        <w:t xml:space="preserve">- 9.3.1</w:t>
      </w:r>
      <w:r>
        <w:t xml:space="preserve"> </w:t>
      </w:r>
      <w:r>
        <w:rPr>
          <w:b/>
          <w:bCs/>
        </w:rPr>
        <w:t xml:space="preserve">Show-cause notice:</w:t>
      </w:r>
      <w:r>
        <w:t xml:space="preserve"> </w:t>
      </w:r>
      <w:r>
        <w:t xml:space="preserve">issued in writing, stating the allegation and the evidence.</w:t>
      </w:r>
      <w:r>
        <w:t xml:space="preserve"> </w:t>
      </w:r>
      <w:r>
        <w:t xml:space="preserve">- 9.3.2</w:t>
      </w:r>
      <w:r>
        <w:t xml:space="preserve"> </w:t>
      </w:r>
      <w:r>
        <w:rPr>
          <w:b/>
          <w:bCs/>
        </w:rPr>
        <w:t xml:space="preserve">Reply:</w:t>
      </w:r>
      <w:r>
        <w:t xml:space="preserve"> </w:t>
      </w:r>
      <w:r>
        <w:t xml:space="preserve">the employee replies in writing within 3 working days. The reply period may be extended once by 2 working days on request.</w:t>
      </w:r>
      <w:r>
        <w:t xml:space="preserve"> </w:t>
      </w:r>
      <w:r>
        <w:t xml:space="preserve">- 9.3.3</w:t>
      </w:r>
      <w:r>
        <w:t xml:space="preserve"> </w:t>
      </w:r>
      <w:r>
        <w:rPr>
          <w:b/>
          <w:bCs/>
        </w:rPr>
        <w:t xml:space="preserve">Inquiry:</w:t>
      </w:r>
      <w:r>
        <w:t xml:space="preserve"> </w:t>
      </w:r>
      <w:r>
        <w:t xml:space="preserve">for matters that may lead to a final written warning or dismissal, an inquiry officer not in the employee’s reporting line is appointed by HR. The inquiry is completed within 10 working days.</w:t>
      </w:r>
      <w:r>
        <w:t xml:space="preserve"> </w:t>
      </w:r>
      <w:r>
        <w:t xml:space="preserve">- 9.3.4</w:t>
      </w:r>
      <w:r>
        <w:t xml:space="preserve"> </w:t>
      </w:r>
      <w:r>
        <w:rPr>
          <w:b/>
          <w:bCs/>
        </w:rPr>
        <w:t xml:space="preserve">Hearing:</w:t>
      </w:r>
      <w:r>
        <w:t xml:space="preserve"> </w:t>
      </w:r>
      <w:r>
        <w:t xml:space="preserve">the employee is given at least 2 working days’ written notice of the hearing.</w:t>
      </w:r>
      <w:r>
        <w:t xml:space="preserve"> </w:t>
      </w:r>
      <w:r>
        <w:t xml:space="preserve">- 9.3.5</w:t>
      </w:r>
      <w:r>
        <w:t xml:space="preserve"> </w:t>
      </w:r>
      <w:r>
        <w:rPr>
          <w:b/>
          <w:bCs/>
        </w:rPr>
        <w:t xml:space="preserve">Decision:</w:t>
      </w:r>
      <w:r>
        <w:t xml:space="preserve"> </w:t>
      </w:r>
      <w:r>
        <w:t xml:space="preserve">given in writing within 5 working days of the hearing.</w:t>
      </w:r>
    </w:p>
    <w:p>
      <w:pPr>
        <w:pStyle w:val="BodyText"/>
      </w:pPr>
      <w:r>
        <w:t xml:space="preserve">9.3.6</w:t>
      </w:r>
      <w:r>
        <w:t xml:space="preserve"> </w:t>
      </w:r>
      <w:r>
        <w:rPr>
          <w:b/>
          <w:bCs/>
        </w:rPr>
        <w:t xml:space="preserve">Suspension.</w:t>
      </w:r>
      <w:r>
        <w:t xml:space="preserve"> </w:t>
      </w:r>
      <w:r>
        <w:t xml:space="preserve">An employee may be suspended on full pay pending inquiry for up to 14 calendar days. Extension beyond 14 days requires COO approval and is on 50% basic salary, unless the delay is caused by the Company.</w:t>
      </w:r>
    </w:p>
    <w:p>
      <w:pPr>
        <w:pStyle w:val="BodyText"/>
      </w:pPr>
      <w:r>
        <w:t xml:space="preserve">9.4</w:t>
      </w:r>
      <w:r>
        <w:t xml:space="preserve"> </w:t>
      </w:r>
      <w:r>
        <w:rPr>
          <w:b/>
          <w:bCs/>
        </w:rPr>
        <w:t xml:space="preserve">Gross misconduct.</w:t>
      </w:r>
      <w:r>
        <w:t xml:space="preserve"> </w:t>
      </w:r>
      <w:r>
        <w:t xml:space="preserve">The following may result in dismissal for a first offence:</w:t>
      </w:r>
      <w:r>
        <w:t xml:space="preserve"> </w:t>
      </w:r>
      <w:r>
        <w:t xml:space="preserve">- theft, fraud, or misuse of customer goods or Company property, including fuel card fraud;</w:t>
      </w:r>
      <w:r>
        <w:t xml:space="preserve"> </w:t>
      </w:r>
      <w:r>
        <w:t xml:space="preserve">- falsifying duty logs, inspection checklists, delivery records or expense claims;</w:t>
      </w:r>
      <w:r>
        <w:t xml:space="preserve"> </w:t>
      </w:r>
      <w:r>
        <w:t xml:space="preserve">- being under the influence of alcohol or drugs at work, or refusing a test under §4.3;</w:t>
      </w:r>
      <w:r>
        <w:t xml:space="preserve"> </w:t>
      </w:r>
      <w:r>
        <w:t xml:space="preserve">- deliberately disabling a vehicle tracker, speed limiter, dashcam, or forklift safety device;</w:t>
      </w:r>
      <w:r>
        <w:t xml:space="preserve"> </w:t>
      </w:r>
      <w:r>
        <w:t xml:space="preserve">- violence or threats of violence;</w:t>
      </w:r>
      <w:r>
        <w:t xml:space="preserve"> </w:t>
      </w:r>
      <w:r>
        <w:t xml:space="preserve">- sexual harassment (following the Committee process in §4.2);</w:t>
      </w:r>
      <w:r>
        <w:t xml:space="preserve"> </w:t>
      </w:r>
      <w:r>
        <w:t xml:space="preserve">- offering or accepting a bribe;</w:t>
      </w:r>
      <w:r>
        <w:t xml:space="preserve"> </w:t>
      </w:r>
      <w:r>
        <w:t xml:space="preserve">- retaliation against a Speak-Up reporter (§8.5);</w:t>
      </w:r>
      <w:r>
        <w:t xml:space="preserve"> </w:t>
      </w:r>
      <w:r>
        <w:t xml:space="preserve">- serious breach of safety rules that causes, or could have caused, serious injury;</w:t>
      </w:r>
      <w:r>
        <w:t xml:space="preserve"> </w:t>
      </w:r>
      <w:r>
        <w:t xml:space="preserve">- failing to report an accident involving injury or third-party damage within the timeline in IFL-SAF-005 §5.</w:t>
      </w:r>
    </w:p>
    <w:p>
      <w:pPr>
        <w:pStyle w:val="BodyText"/>
      </w:pPr>
      <w:r>
        <w:t xml:space="preserve">9.4.1 A driver who tests positive for alcohol or drugs is immediately removed from driving duties and suspended under §9.3.6, before the inquiry starts.</w:t>
      </w:r>
    </w:p>
    <w:p>
      <w:pPr>
        <w:pStyle w:val="BodyText"/>
      </w:pPr>
      <w:r>
        <w:t xml:space="preserve">9.4.2 Employees dismissed for gross misconduct do not receive leave encashment (see IFL-HR-001 §11.3.3).</w:t>
      </w:r>
    </w:p>
    <w:p>
      <w:pPr>
        <w:pStyle w:val="BodyText"/>
      </w:pPr>
      <w:r>
        <w:t xml:space="preserve">9.5</w:t>
      </w:r>
      <w:r>
        <w:t xml:space="preserve"> </w:t>
      </w:r>
      <w:r>
        <w:rPr>
          <w:b/>
          <w:bCs/>
        </w:rPr>
        <w:t xml:space="preserve">Probationers.</w:t>
      </w:r>
      <w:r>
        <w:t xml:space="preserve"> </w:t>
      </w:r>
      <w:r>
        <w:t xml:space="preserve">For probationers, the Company may end employment with 7 days’ notice under IFL-HR-001 §11.1 instead of following §9.3. However, a show-cause notice is still issued for any allegation of gross misconduct.</w:t>
      </w:r>
    </w:p>
    <w:p>
      <w:pPr>
        <w:pStyle w:val="BodyText"/>
      </w:pPr>
      <w:r>
        <w:t xml:space="preserve">9.6</w:t>
      </w:r>
      <w:r>
        <w:t xml:space="preserve"> </w:t>
      </w:r>
      <w:r>
        <w:rPr>
          <w:b/>
          <w:bCs/>
        </w:rPr>
        <w:t xml:space="preserve">Appeals</w:t>
      </w:r>
      <w:r>
        <w:t xml:space="preserve"> </w:t>
      </w:r>
      <w:r>
        <w:t xml:space="preserve">- 9.6.1 Appeals are made in writing to the HR Manager within 7 calendar days of the decision.</w:t>
      </w:r>
      <w:r>
        <w:t xml:space="preserve"> </w:t>
      </w:r>
      <w:r>
        <w:t xml:space="preserve">- 9.6.2 Appeals are heard by the next level above the person who issued the sanction (COO for department manager decisions; CEO for COO decisions).</w:t>
      </w:r>
      <w:r>
        <w:t xml:space="preserve"> </w:t>
      </w:r>
      <w:r>
        <w:t xml:space="preserve">- 9.6.3 The appeal outcome is given within 15 working days and is final.</w:t>
      </w:r>
    </w:p>
    <w:p>
      <w:pPr>
        <w:pStyle w:val="Heading2"/>
      </w:pPr>
      <w:bookmarkStart w:id="19" w:name="_bb3c1f2c8b16d677eeff1ead0086c0c65fac2af"/>
      <w:r>
        <w:t xml:space="preserve">10. Role-Specific Expectations</w:t>
      </w:r>
      <w:bookmarkEnd w:id="19"/>
    </w:p>
    <w:p>
      <w:pPr>
        <w:pStyle w:val="FirstParagraph"/>
      </w:pPr>
      <w:r>
        <w:t xml:space="preserve">10.1</w:t>
      </w:r>
      <w:r>
        <w:t xml:space="preserve"> </w:t>
      </w:r>
      <w:r>
        <w:rPr>
          <w:b/>
          <w:bCs/>
        </w:rPr>
        <w:t xml:space="preserve">Drivers</w:t>
      </w:r>
      <w:r>
        <w:t xml:space="preserve"> </w:t>
      </w:r>
      <w:r>
        <w:t xml:space="preserve">- Follow the driving hours, speed caps and vehicle checks in IFL-OPS-003.</w:t>
      </w:r>
      <w:r>
        <w:t xml:space="preserve"> </w:t>
      </w:r>
      <w:r>
        <w:t xml:space="preserve">- Never leave a loaded vehicle unattended except at approved stops listed by the Route Planner.</w:t>
      </w:r>
      <w:r>
        <w:t xml:space="preserve"> </w:t>
      </w:r>
      <w:r>
        <w:t xml:space="preserve">- Treat customer staff and the public courteously, including at delivery points and checkposts.</w:t>
      </w:r>
    </w:p>
    <w:p>
      <w:pPr>
        <w:pStyle w:val="BodyText"/>
      </w:pPr>
      <w:r>
        <w:t xml:space="preserve">10.2</w:t>
      </w:r>
      <w:r>
        <w:t xml:space="preserve"> </w:t>
      </w:r>
      <w:r>
        <w:rPr>
          <w:b/>
          <w:bCs/>
        </w:rPr>
        <w:t xml:space="preserve">Warehouse staff</w:t>
      </w:r>
      <w:r>
        <w:t xml:space="preserve"> </w:t>
      </w:r>
      <w:r>
        <w:t xml:space="preserve">- Follow IFL-SAF-004 for forklifts, PPE and loading bays.</w:t>
      </w:r>
      <w:r>
        <w:t xml:space="preserve"> </w:t>
      </w:r>
      <w:r>
        <w:t xml:space="preserve">- Never open, sample or remove customer goods, including damaged goods, except under the damaged-goods process approved by the Warehouse Manager.</w:t>
      </w:r>
    </w:p>
    <w:p>
      <w:pPr>
        <w:pStyle w:val="BodyText"/>
      </w:pPr>
      <w:r>
        <w:t xml:space="preserve">10.3</w:t>
      </w:r>
      <w:r>
        <w:t xml:space="preserve"> </w:t>
      </w:r>
      <w:r>
        <w:rPr>
          <w:b/>
          <w:bCs/>
        </w:rPr>
        <w:t xml:space="preserve">Managers and supervisors</w:t>
      </w:r>
      <w:r>
        <w:t xml:space="preserve"> </w:t>
      </w:r>
      <w:r>
        <w:t xml:space="preserve">- Set an example and enforce this Code consistently.</w:t>
      </w:r>
      <w:r>
        <w:t xml:space="preserve"> </w:t>
      </w:r>
      <w:r>
        <w:t xml:space="preserve">- Pass any Speak-Up concern received to HR within 2 working days.</w:t>
      </w:r>
      <w:r>
        <w:t xml:space="preserve"> </w:t>
      </w:r>
      <w:r>
        <w:t xml:space="preserve">- Not pressure staff to break safety rules or driving limits to meet delivery targets.</w:t>
      </w:r>
    </w:p>
    <w:p>
      <w:pPr>
        <w:pStyle w:val="Heading2"/>
      </w:pPr>
      <w:bookmarkStart w:id="20" w:name="_acknowledgement"/>
      <w:r>
        <w:t xml:space="preserve">11. Acknowledgement</w:t>
      </w:r>
      <w:bookmarkEnd w:id="20"/>
    </w:p>
    <w:p>
      <w:pPr>
        <w:pStyle w:val="FirstParagraph"/>
      </w:pPr>
      <w:r>
        <w:t xml:space="preserve">11.1 New employees acknowledge this Code in HRIS within 7 days of joining.</w:t>
      </w:r>
    </w:p>
    <w:p>
      <w:pPr>
        <w:pStyle w:val="BodyText"/>
      </w:pPr>
      <w:r>
        <w:t xml:space="preserve">11.2 All employees re-acknowledge the Code annually by 31 January.</w:t>
      </w:r>
    </w:p>
    <w:p>
      <w:pPr>
        <w:pStyle w:val="BodyText"/>
      </w:pPr>
      <w:r>
        <w:t xml:space="preserve">11.3 Drivers and warehouse staff without HRIS access sign a paper acknowledgement, collected by the Admin Officer – Lahore.</w:t>
      </w:r>
    </w:p>
    <w:p>
      <w:pPr>
        <w:pStyle w:val="BodyText"/>
      </w:pPr>
      <w:r>
        <w:t xml:space="preserve">11.4 Failure to acknowledge does not exempt anyone from this Code.</w:t>
      </w:r>
    </w:p>
    <w:p>
      <w:pPr>
        <w:pStyle w:val="Heading2"/>
      </w:pPr>
      <w:bookmarkStart w:id="21" w:name="_790f9289032449bb6ef526872949ccd2adf6a9b"/>
      <w:r>
        <w:t xml:space="preserve">12. Revision History</w:t>
      </w:r>
      <w:bookmarkEnd w:id="21"/>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Effective date</w:t>
            </w:r>
          </w:p>
        </w:tc>
        <w:tc>
          <w:tcPr/>
          <w:p>
            <w:pPr>
              <w:pStyle w:val="Compact"/>
            </w:pPr>
            <w:r>
              <w:t xml:space="preserve">Summary of changes</w:t>
            </w:r>
          </w:p>
        </w:tc>
      </w:tr>
      <w:tr>
        <w:tc>
          <w:tcPr/>
          <w:p>
            <w:pPr>
              <w:pStyle w:val="Compact"/>
            </w:pPr>
            <w:r>
              <w:t xml:space="preserve">1.0</w:t>
            </w:r>
          </w:p>
        </w:tc>
        <w:tc>
          <w:tcPr/>
          <w:p>
            <w:pPr>
              <w:pStyle w:val="Compact"/>
            </w:pPr>
            <w:r>
              <w:t xml:space="preserve">1 July 2021</w:t>
            </w:r>
          </w:p>
        </w:tc>
        <w:tc>
          <w:tcPr/>
          <w:p>
            <w:pPr>
              <w:pStyle w:val="Compact"/>
            </w:pPr>
            <w:r>
              <w:t xml:space="preserve">First issue</w:t>
            </w:r>
          </w:p>
        </w:tc>
      </w:tr>
      <w:tr>
        <w:tc>
          <w:tcPr/>
          <w:p>
            <w:pPr>
              <w:pStyle w:val="Compact"/>
            </w:pPr>
            <w:r>
              <w:t xml:space="preserve">2.0</w:t>
            </w:r>
          </w:p>
        </w:tc>
        <w:tc>
          <w:tcPr/>
          <w:p>
            <w:pPr>
              <w:pStyle w:val="Compact"/>
            </w:pPr>
            <w:r>
              <w:t xml:space="preserve">1 January 2026</w:t>
            </w:r>
          </w:p>
        </w:tc>
        <w:tc>
          <w:tcPr/>
          <w:p>
            <w:pPr>
              <w:pStyle w:val="Compact"/>
            </w:pPr>
            <w:r>
              <w:t xml:space="preserve">Added Eid perishable gift exception; added personal-safety exception for facilitation payments (§6.5.4); suspension pay rule after 14 days; warning validity pause during long unpaid leave (§9.2.3)</w:t>
            </w:r>
          </w:p>
        </w:tc>
      </w:tr>
    </w:tbl>
    <w:p>
      <w:r>
        <w:pict>
          <v:rect style="width:0;height:1.5pt" o:hralign="center" o:hrstd="t" o:hr="t"/>
        </w:pict>
      </w:r>
    </w:p>
    <w:p>
      <w:pPr>
        <w:pStyle w:val="FirstParagraph"/>
      </w:pPr>
      <w:r>
        <w:t xml:space="preserve">Fictional company — created for software demonstration only.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2026-10-22T09:20:49Z</dcterms:created>
  <dcterms:modified xsi:type="dcterms:W3CDTF">2026-10-22T09:20:49Z</dcterms:modified>
</cp:coreProperties>
</file>

<file path=docProps/custom.xml><?xml version="1.0" encoding="utf-8"?>
<Properties xmlns="http://schemas.openxmlformats.org/officeDocument/2006/custom-properties" xmlns:vt="http://schemas.openxmlformats.org/officeDocument/2006/docPropsVTypes"/>
</file>