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Menstrual Hygiene Awareness in Adolescent Girls: Exploring the Influence of Maternal Education on Knowledge and Practices in a Sub-Urban Area of Pakistan</w:t>
      </w:r>
    </w:p>
    <w:p>
      <w:pPr>
        <w:jc w:val="center"/>
      </w:pPr>
      <w:r>
        <w:rPr>
          <w:rFonts w:ascii="Times New Roman" w:hAnsi="Times New Roman"/>
          <w:b/>
          <w:color w:val="000000"/>
        </w:rPr>
        <w:t>Supervisor:</w:t>
      </w:r>
      <w:r>
        <w:rPr>
          <w:rFonts w:ascii="Times New Roman" w:hAnsi="Times New Roman"/>
          <w:color w:val="000000"/>
        </w:rPr>
        <w:t xml:space="preserve"> Dr Naureen Omar</w:t>
      </w:r>
    </w:p>
    <w:p>
      <w:pPr>
        <w:jc w:val="center"/>
      </w:pPr>
      <w:r>
        <w:rPr>
          <w:rFonts w:ascii="Times New Roman" w:hAnsi="Times New Roman"/>
          <w:b/>
          <w:color w:val="000000"/>
        </w:rPr>
        <w:t>Investigators:</w:t>
      </w:r>
      <w:r>
        <w:rPr>
          <w:rFonts w:ascii="Times New Roman" w:hAnsi="Times New Roman"/>
          <w:color w:val="000000"/>
        </w:rPr>
        <w:t xml:space="preserve"> Dr Ayesha Javed, Dr Fatima Sohail</w:t>
      </w:r>
    </w:p>
    <w:p/>
    <w:p>
      <w:pPr>
        <w:pStyle w:val="Heading2"/>
      </w:pPr>
      <w:r>
        <w:t>Abstract</w:t>
      </w:r>
    </w:p>
    <w:p>
      <w:pPr>
        <w:pStyle w:val="Heading3"/>
      </w:pPr>
      <w:r>
        <w:t>Background</w:t>
      </w:r>
    </w:p>
    <w:p>
      <w:pPr>
        <w:jc w:val="left"/>
      </w:pPr>
      <w:r>
        <w:rPr>
          <w:rFonts w:ascii="Times New Roman" w:hAnsi="Times New Roman"/>
          <w:color w:val="000000"/>
        </w:rPr>
        <w:t>Menstrual hygiene management among adolescent girls remains a public health and education challenge in low-resource settings, where social stigma, limited menstrual health literacy, and constrained access to hygiene resources can worsen outcomes. Maternal education is often considered an important determinant of adolescent health behavior, but local data from sub-urban Pakistan are limited.</w:t>
      </w:r>
    </w:p>
    <w:p>
      <w:pPr>
        <w:pStyle w:val="Heading3"/>
      </w:pPr>
      <w:r>
        <w:t>Objective</w:t>
      </w:r>
    </w:p>
    <w:p>
      <w:pPr>
        <w:jc w:val="left"/>
      </w:pPr>
      <w:r>
        <w:rPr>
          <w:rFonts w:ascii="Times New Roman" w:hAnsi="Times New Roman"/>
          <w:color w:val="000000"/>
        </w:rPr>
        <w:t>To assess menstrual hygiene knowledge and practices among adolescent girls and determine whether scores differ by maternal education level.</w:t>
      </w:r>
    </w:p>
    <w:p>
      <w:pPr>
        <w:pStyle w:val="Heading3"/>
      </w:pPr>
      <w:r>
        <w:t>Methods</w:t>
      </w:r>
    </w:p>
    <w:p>
      <w:pPr>
        <w:jc w:val="left"/>
      </w:pPr>
      <w:r>
        <w:rPr>
          <w:rFonts w:ascii="Times New Roman" w:hAnsi="Times New Roman"/>
          <w:color w:val="000000"/>
        </w:rPr>
        <w:t>This cross-sectional analysis used school-based survey data from a sub-urban area of Lahore, Pakistan. Raw records loaded were 160; 40 empty records (missing maternal education) were excluded per predefined pipeline logic, leaving 120 analyzable participants. Knowledge (0-9) and practice (0-7) scores were computed from questionnaire sections using predefined scoring rules. Missing questionnaire responses were scored as 0. Demographic summaries, group-wise comparisons, and correlation analyses were performed. Normality and variance assumptions were checked (Shapiro-Wilk, Levene), with Kruskal-Wallis selected for group comparisons when assumptions were not met or group sizes were insufficient. Effect size was reported as epsilon-squared for Kruskal-Wallis tests.</w:t>
      </w:r>
    </w:p>
    <w:p>
      <w:pPr>
        <w:pStyle w:val="Heading3"/>
      </w:pPr>
      <w:r>
        <w:t>Results</w:t>
      </w:r>
    </w:p>
    <w:p>
      <w:pPr>
        <w:jc w:val="left"/>
      </w:pPr>
      <w:r>
        <w:rPr>
          <w:rFonts w:ascii="Times New Roman" w:hAnsi="Times New Roman"/>
          <w:color w:val="000000"/>
        </w:rPr>
        <w:t>Mean age was 14.47 years (range 12-18). Mean knowledge score was 5.82/9 (SD 1.08), and mean practice score was 5.68/7 (SD 0.58). Maternal education showed a significant association with practice scores (Kruskal-Wallis H=10.1562, p=0.0379, epsilon-squared=0.0535), but not with knowledge scores (H=5.8669, p=0.2093, epsilon-squared=0.0162). Pearson analysis showed positive correlations between age and knowledge (r=0.307, p=0.0007), and between knowledge and practice (r=0.335, p=0.0002). Income was not significantly correlated with knowledge or practice. Overall data quality was 88.82%; core data quality excluding conditional/skip-logic columns was 99.85%.</w:t>
      </w:r>
    </w:p>
    <w:p>
      <w:pPr>
        <w:pStyle w:val="Heading3"/>
      </w:pPr>
      <w:r>
        <w:t>Conclusion</w:t>
      </w:r>
    </w:p>
    <w:p>
      <w:pPr>
        <w:jc w:val="left"/>
      </w:pPr>
      <w:r>
        <w:rPr>
          <w:rFonts w:ascii="Times New Roman" w:hAnsi="Times New Roman"/>
          <w:color w:val="000000"/>
        </w:rPr>
        <w:t>In this sample, maternal education was associated with better menstrual hygiene practices but not significantly associated with knowledge scores. Findings support targeting behavior-focused menstrual hygiene interventions, while addressing structural and household-level constraints. Results should be interpreted as associative (not causal) due to the cross-sectional and unadjusted analytic design.</w:t>
      </w:r>
    </w:p>
    <w:p>
      <w:pPr>
        <w:pStyle w:val="Heading3"/>
      </w:pPr>
      <w:r>
        <w:t>Keywords</w:t>
      </w:r>
    </w:p>
    <w:p>
      <w:pPr>
        <w:jc w:val="left"/>
      </w:pPr>
      <w:r>
        <w:rPr>
          <w:rFonts w:ascii="Times New Roman" w:hAnsi="Times New Roman"/>
          <w:color w:val="000000"/>
        </w:rPr>
        <w:t>Menstrual hygiene, adolescent girls, maternal education, Pakistan, knowledge score, practice score, Kruskal-Wallis, school health</w:t>
      </w:r>
    </w:p>
    <w:p/>
    <w:p>
      <w:pPr>
        <w:pStyle w:val="Heading2"/>
      </w:pPr>
      <w:r>
        <w:t>1. Introduction</w:t>
      </w:r>
    </w:p>
    <w:p>
      <w:pPr>
        <w:jc w:val="left"/>
      </w:pPr>
      <w:r>
        <w:rPr>
          <w:rFonts w:ascii="Times New Roman" w:hAnsi="Times New Roman"/>
          <w:color w:val="000000"/>
        </w:rPr>
        <w:t>Adolescence is a critical developmental period in which lifelong health behaviors are established. Menstrual health literacy and hygienic practice are particularly important for adolescent girls because they affect physical comfort, infection risk, school participation, and psychosocial well-being. International guidance from WHO and UNESCO frames menstrual health as both a health and rights issue requiring access to accurate information, hygiene products, safe sanitation, and supportive social environments.</w:t>
      </w:r>
    </w:p>
    <w:p>
      <w:pPr>
        <w:jc w:val="left"/>
      </w:pPr>
      <w:r>
        <w:rPr>
          <w:rFonts w:ascii="Times New Roman" w:hAnsi="Times New Roman"/>
          <w:color w:val="000000"/>
        </w:rPr>
        <w:t>In many low- and middle-income settings, menstrual hygiene management is constrained by stigma, silence, and limited resources. Girls may enter menarche with incomplete understanding, rely on informal sources of information, and face practical barriers to product use, washing, and disposal. These challenges are amplified in socioeconomically constrained communities where household resources and parental literacy influence adolescent health behavior.</w:t>
      </w:r>
    </w:p>
    <w:p>
      <w:pPr>
        <w:jc w:val="left"/>
      </w:pPr>
      <w:r>
        <w:rPr>
          <w:rFonts w:ascii="Times New Roman" w:hAnsi="Times New Roman"/>
          <w:color w:val="000000"/>
        </w:rPr>
        <w:t>Within Pakistan, these concerns are highly relevant in sub-urban and peri-urban populations, where heterogeneous education and income profiles intersect with persistent menstrual taboos. Maternal education is frequently hypothesized to shape daughters' knowledge and behavior through communication, supervision, and hygiene norms. However, empirical evidence in local contexts remains sparse.</w:t>
      </w:r>
    </w:p>
    <w:p>
      <w:pPr>
        <w:jc w:val="left"/>
      </w:pPr>
      <w:r>
        <w:rPr>
          <w:rFonts w:ascii="Times New Roman" w:hAnsi="Times New Roman"/>
          <w:color w:val="000000"/>
        </w:rPr>
        <w:t>This study therefore evaluates menstrual hygiene knowledge and practices among adolescent schoolgirls and examines whether these outcomes differ across maternal education categories.</w:t>
      </w:r>
    </w:p>
    <w:p/>
    <w:p>
      <w:pPr>
        <w:pStyle w:val="Heading2"/>
      </w:pPr>
      <w:r>
        <w:t>2. Rationale</w:t>
      </w:r>
    </w:p>
    <w:p>
      <w:pPr>
        <w:jc w:val="left"/>
      </w:pPr>
      <w:r>
        <w:rPr>
          <w:rFonts w:ascii="Times New Roman" w:hAnsi="Times New Roman"/>
          <w:color w:val="000000"/>
        </w:rPr>
        <w:t>This analysis addresses an applied public health question with direct implications for school health programming: does maternal education translate into better menstrual hygiene knowledge and/or better menstrual hygiene practices among adolescent girls in a sub-urban Pakistani setting? The answer helps prioritize intervention design. If knowledge alone is not strongly differentiated but practices are, interventions may need to move beyond awareness messaging toward behavior support, practical enabling resources, and household-level engagement.</w:t>
      </w:r>
    </w:p>
    <w:p/>
    <w:p>
      <w:pPr>
        <w:pStyle w:val="Heading2"/>
      </w:pPr>
      <w:r>
        <w:t>3. Objectives</w:t>
      </w:r>
    </w:p>
    <w:p>
      <w:pPr>
        <w:pStyle w:val="Heading3"/>
      </w:pPr>
      <w:r>
        <w:t>Primary Objectives</w:t>
      </w:r>
    </w:p>
    <w:p>
      <w:pPr>
        <w:pStyle w:val="ListNumber"/>
        <w:jc w:val="left"/>
      </w:pPr>
      <w:r>
        <w:rPr>
          <w:rFonts w:ascii="Times New Roman" w:hAnsi="Times New Roman"/>
          <w:color w:val="000000"/>
        </w:rPr>
        <w:t>To assess the level of menstrual hygiene knowledge among adolescent girls.</w:t>
      </w:r>
    </w:p>
    <w:p>
      <w:pPr>
        <w:pStyle w:val="ListNumber"/>
        <w:jc w:val="left"/>
      </w:pPr>
      <w:r>
        <w:rPr>
          <w:rFonts w:ascii="Times New Roman" w:hAnsi="Times New Roman"/>
          <w:color w:val="000000"/>
        </w:rPr>
        <w:t>To assess menstrual hygiene practices among adolescent girls.</w:t>
      </w:r>
    </w:p>
    <w:p>
      <w:pPr>
        <w:pStyle w:val="ListNumber"/>
        <w:jc w:val="left"/>
      </w:pPr>
      <w:r>
        <w:rPr>
          <w:rFonts w:ascii="Times New Roman" w:hAnsi="Times New Roman"/>
          <w:color w:val="000000"/>
        </w:rPr>
        <w:t>To determine whether maternal education level is associated with knowledge and practice scores.</w:t>
      </w:r>
    </w:p>
    <w:p>
      <w:pPr>
        <w:pStyle w:val="Heading3"/>
      </w:pPr>
      <w:r>
        <w:t>Secondary Objectives</w:t>
      </w:r>
    </w:p>
    <w:p>
      <w:pPr>
        <w:pStyle w:val="ListNumber"/>
        <w:jc w:val="left"/>
      </w:pPr>
      <w:r>
        <w:rPr>
          <w:rFonts w:ascii="Times New Roman" w:hAnsi="Times New Roman"/>
          <w:color w:val="000000"/>
        </w:rPr>
        <w:t>To summarize core sociodemographic characteristics of the sample.</w:t>
      </w:r>
    </w:p>
    <w:p>
      <w:pPr>
        <w:pStyle w:val="ListNumber"/>
        <w:jc w:val="left"/>
      </w:pPr>
      <w:r>
        <w:rPr>
          <w:rFonts w:ascii="Times New Roman" w:hAnsi="Times New Roman"/>
          <w:color w:val="000000"/>
        </w:rPr>
        <w:t>To examine correlations among age, household income, family size, per-capita income, and menstrual hygiene scores.</w:t>
      </w:r>
    </w:p>
    <w:p>
      <w:pPr>
        <w:pStyle w:val="ListNumber"/>
        <w:jc w:val="left"/>
      </w:pPr>
      <w:r>
        <w:rPr>
          <w:rFonts w:ascii="Times New Roman" w:hAnsi="Times New Roman"/>
          <w:color w:val="000000"/>
        </w:rPr>
        <w:t>To evaluate data quality and missingness patterns relevant to interpretation.</w:t>
      </w:r>
    </w:p>
    <w:p/>
    <w:p>
      <w:pPr>
        <w:pStyle w:val="Heading2"/>
      </w:pPr>
      <w:r>
        <w:t>4. Methods</w:t>
      </w:r>
    </w:p>
    <w:p>
      <w:pPr>
        <w:pStyle w:val="Heading3"/>
      </w:pPr>
      <w:r>
        <w:t>4.1 Study Design and Context</w:t>
      </w:r>
    </w:p>
    <w:p>
      <w:pPr>
        <w:jc w:val="left"/>
      </w:pPr>
      <w:r>
        <w:rPr>
          <w:rFonts w:ascii="Times New Roman" w:hAnsi="Times New Roman"/>
          <w:color w:val="000000"/>
        </w:rPr>
        <w:t>This is a cross-sectional, questionnaire-based analysis using SPSS source data collected from adolescent girls in a school-based setting in sub-urban Lahore, Pakistan.</w:t>
      </w:r>
    </w:p>
    <w:p>
      <w:pPr>
        <w:pStyle w:val="Heading3"/>
      </w:pPr>
      <w:r>
        <w:t>4.2 Participants and Analytic Sample</w:t>
      </w:r>
    </w:p>
    <w:p>
      <w:pPr>
        <w:pStyle w:val="ListBullet"/>
        <w:jc w:val="left"/>
      </w:pPr>
      <w:r>
        <w:rPr>
          <w:rFonts w:ascii="Times New Roman" w:hAnsi="Times New Roman"/>
          <w:color w:val="000000"/>
        </w:rPr>
        <w:t>Raw records loaded: 160</w:t>
      </w:r>
    </w:p>
    <w:p>
      <w:pPr>
        <w:pStyle w:val="ListBullet"/>
        <w:jc w:val="left"/>
      </w:pPr>
      <w:r>
        <w:rPr>
          <w:rFonts w:ascii="Times New Roman" w:hAnsi="Times New Roman"/>
          <w:color w:val="000000"/>
        </w:rPr>
        <w:t>Records excluded: 40 (missing maternal education; treated as empty/non-analyzable per pipeline rule)</w:t>
      </w:r>
    </w:p>
    <w:p>
      <w:pPr>
        <w:pStyle w:val="ListBullet"/>
        <w:jc w:val="left"/>
      </w:pPr>
      <w:r>
        <w:rPr>
          <w:rFonts w:ascii="Times New Roman" w:hAnsi="Times New Roman"/>
          <w:color w:val="000000"/>
        </w:rPr>
        <w:t>Final analyzable sample: 120</w:t>
      </w:r>
    </w:p>
    <w:p>
      <w:pPr>
        <w:pStyle w:val="Heading3"/>
      </w:pPr>
      <w:r>
        <w:t>4.3 Variables</w:t>
      </w:r>
    </w:p>
    <w:p>
      <w:pPr>
        <w:pStyle w:val="Heading4"/>
      </w:pPr>
      <w:r>
        <w:t>Outcomes</w:t>
      </w:r>
    </w:p>
    <w:p>
      <w:pPr>
        <w:pStyle w:val="ListBullet"/>
        <w:jc w:val="left"/>
      </w:pPr>
      <w:r>
        <w:rPr>
          <w:rFonts w:ascii="Times New Roman" w:hAnsi="Times New Roman"/>
          <w:b/>
          <w:color w:val="000000"/>
        </w:rPr>
        <w:t>Knowledge score</w:t>
      </w:r>
      <w:r>
        <w:rPr>
          <w:rFonts w:ascii="Times New Roman" w:hAnsi="Times New Roman"/>
          <w:color w:val="000000"/>
        </w:rPr>
        <w:t>: Continuous integer score, range 0-9.</w:t>
      </w:r>
    </w:p>
    <w:p>
      <w:pPr>
        <w:pStyle w:val="ListBullet"/>
        <w:jc w:val="left"/>
      </w:pPr>
      <w:r>
        <w:rPr>
          <w:rFonts w:ascii="Times New Roman" w:hAnsi="Times New Roman"/>
          <w:b/>
          <w:color w:val="000000"/>
        </w:rPr>
        <w:t>Practice score</w:t>
      </w:r>
      <w:r>
        <w:rPr>
          <w:rFonts w:ascii="Times New Roman" w:hAnsi="Times New Roman"/>
          <w:color w:val="000000"/>
        </w:rPr>
        <w:t>: Continuous integer score, range 0-7.</w:t>
      </w:r>
    </w:p>
    <w:p>
      <w:pPr>
        <w:pStyle w:val="Heading4"/>
      </w:pPr>
      <w:r>
        <w:t>Primary Predictor</w:t>
      </w:r>
    </w:p>
    <w:p>
      <w:pPr>
        <w:pStyle w:val="ListBullet"/>
        <w:jc w:val="left"/>
      </w:pPr>
      <w:r>
        <w:rPr>
          <w:rFonts w:ascii="Times New Roman" w:hAnsi="Times New Roman"/>
          <w:b/>
          <w:color w:val="000000"/>
        </w:rPr>
        <w:t>Maternal education</w:t>
      </w:r>
      <w:r>
        <w:rPr>
          <w:rFonts w:ascii="Times New Roman" w:hAnsi="Times New Roman"/>
          <w:color w:val="000000"/>
        </w:rPr>
        <w:t>: Ordinal categorical variable with five analysis levels:</w:t>
      </w:r>
    </w:p>
    <w:p>
      <w:pPr>
        <w:pStyle w:val="ListBullet"/>
        <w:jc w:val="left"/>
      </w:pPr>
      <w:r>
        <w:rPr>
          <w:rFonts w:ascii="Times New Roman" w:hAnsi="Times New Roman"/>
          <w:color w:val="000000"/>
        </w:rPr>
        <w:t>Level 1: Illiterate/Primary</w:t>
      </w:r>
    </w:p>
    <w:p>
      <w:pPr>
        <w:pStyle w:val="ListBullet"/>
        <w:jc w:val="left"/>
      </w:pPr>
      <w:r>
        <w:rPr>
          <w:rFonts w:ascii="Times New Roman" w:hAnsi="Times New Roman"/>
          <w:color w:val="000000"/>
        </w:rPr>
        <w:t>Level 2: Middle</w:t>
      </w:r>
    </w:p>
    <w:p>
      <w:pPr>
        <w:pStyle w:val="ListBullet"/>
        <w:jc w:val="left"/>
      </w:pPr>
      <w:r>
        <w:rPr>
          <w:rFonts w:ascii="Times New Roman" w:hAnsi="Times New Roman"/>
          <w:color w:val="000000"/>
        </w:rPr>
        <w:t>Level 3: Secondary</w:t>
      </w:r>
    </w:p>
    <w:p>
      <w:pPr>
        <w:pStyle w:val="ListBullet"/>
        <w:jc w:val="left"/>
      </w:pPr>
      <w:r>
        <w:rPr>
          <w:rFonts w:ascii="Times New Roman" w:hAnsi="Times New Roman"/>
          <w:color w:val="000000"/>
        </w:rPr>
        <w:t>Level 4: Intermediate</w:t>
      </w:r>
    </w:p>
    <w:p>
      <w:pPr>
        <w:pStyle w:val="ListBullet"/>
        <w:jc w:val="left"/>
      </w:pPr>
      <w:r>
        <w:rPr>
          <w:rFonts w:ascii="Times New Roman" w:hAnsi="Times New Roman"/>
          <w:color w:val="000000"/>
        </w:rPr>
        <w:t>Level 5: Higher</w:t>
      </w:r>
    </w:p>
    <w:p>
      <w:pPr>
        <w:pStyle w:val="Heading4"/>
      </w:pPr>
      <w:r>
        <w:t>Additional Covariates/Descriptors</w:t>
      </w:r>
    </w:p>
    <w:p>
      <w:pPr>
        <w:pStyle w:val="ListBullet"/>
        <w:jc w:val="left"/>
      </w:pPr>
      <w:r>
        <w:rPr>
          <w:rFonts w:ascii="Times New Roman" w:hAnsi="Times New Roman"/>
          <w:color w:val="000000"/>
        </w:rPr>
        <w:t>Age</w:t>
      </w:r>
    </w:p>
    <w:p>
      <w:pPr>
        <w:pStyle w:val="ListBullet"/>
        <w:jc w:val="left"/>
      </w:pPr>
      <w:r>
        <w:rPr>
          <w:rFonts w:ascii="Times New Roman" w:hAnsi="Times New Roman"/>
          <w:color w:val="000000"/>
        </w:rPr>
        <w:t>Household monthly income</w:t>
      </w:r>
    </w:p>
    <w:p>
      <w:pPr>
        <w:pStyle w:val="ListBullet"/>
        <w:jc w:val="left"/>
      </w:pPr>
      <w:r>
        <w:rPr>
          <w:rFonts w:ascii="Times New Roman" w:hAnsi="Times New Roman"/>
          <w:color w:val="000000"/>
        </w:rPr>
        <w:t>Family size</w:t>
      </w:r>
    </w:p>
    <w:p>
      <w:pPr>
        <w:pStyle w:val="ListBullet"/>
        <w:jc w:val="left"/>
      </w:pPr>
      <w:r>
        <w:rPr>
          <w:rFonts w:ascii="Times New Roman" w:hAnsi="Times New Roman"/>
          <w:color w:val="000000"/>
        </w:rPr>
        <w:t>Per-capita income (derived)</w:t>
      </w:r>
    </w:p>
    <w:p>
      <w:pPr>
        <w:pStyle w:val="ListBullet"/>
        <w:jc w:val="left"/>
      </w:pPr>
      <w:r>
        <w:rPr>
          <w:rFonts w:ascii="Times New Roman" w:hAnsi="Times New Roman"/>
          <w:color w:val="000000"/>
        </w:rPr>
        <w:t>Paternal education and occupation</w:t>
      </w:r>
    </w:p>
    <w:p>
      <w:pPr>
        <w:pStyle w:val="ListBullet"/>
        <w:jc w:val="left"/>
      </w:pPr>
      <w:r>
        <w:rPr>
          <w:rFonts w:ascii="Times New Roman" w:hAnsi="Times New Roman"/>
          <w:color w:val="000000"/>
        </w:rPr>
        <w:t>Maternal occupation</w:t>
      </w:r>
    </w:p>
    <w:p>
      <w:pPr>
        <w:pStyle w:val="Heading3"/>
      </w:pPr>
      <w:r>
        <w:t>4.4 Scoring Rules and Derived Variables</w:t>
      </w:r>
    </w:p>
    <w:p>
      <w:pPr>
        <w:pStyle w:val="Heading4"/>
      </w:pPr>
      <w:r>
        <w:t>Knowledge Score (0-9)</w:t>
      </w:r>
    </w:p>
    <w:p>
      <w:pPr>
        <w:jc w:val="left"/>
      </w:pPr>
      <w:r>
        <w:rPr>
          <w:rFonts w:ascii="Times New Roman" w:hAnsi="Times New Roman"/>
          <w:color w:val="000000"/>
        </w:rPr>
        <w:t>Derived from Section III questionnaire items using predefined correct-option scoring. Missing responses are assigned 0.</w:t>
      </w:r>
    </w:p>
    <w:p>
      <w:pPr>
        <w:pStyle w:val="Heading4"/>
      </w:pPr>
      <w:r>
        <w:t>Practice Score (0-7)</w:t>
      </w:r>
    </w:p>
    <w:p>
      <w:pPr>
        <w:jc w:val="left"/>
      </w:pPr>
      <w:r>
        <w:rPr>
          <w:rFonts w:ascii="Times New Roman" w:hAnsi="Times New Roman"/>
          <w:color w:val="000000"/>
        </w:rPr>
        <w:t>Derived from Section IV questionnaire items using predefined scoring. Missing responses are assigned 0.</w:t>
      </w:r>
    </w:p>
    <w:p>
      <w:pPr>
        <w:pStyle w:val="Heading4"/>
      </w:pPr>
      <w:r>
        <w:t>Per-Capita Income</w:t>
      </w:r>
    </w:p>
    <w:p>
      <w:pPr>
        <w:jc w:val="left"/>
      </w:pPr>
      <w:r>
        <w:rPr>
          <w:rFonts w:ascii="Times New Roman" w:hAnsi="Times New Roman"/>
          <w:color w:val="000000"/>
        </w:rPr>
        <w:t>Calculated as:</w:t>
      </w:r>
    </w:p>
    <w:p>
      <w:pPr>
        <w:jc w:val="left"/>
      </w:pPr>
      <w:r>
        <w:rPr>
          <w:rFonts w:ascii="Consolas" w:hAnsi="Consolas"/>
          <w:color w:val="000000"/>
          <w:sz w:val="20"/>
        </w:rPr>
        <w:t>Per-capita income = Monthly income / Total family members</w:t>
      </w:r>
    </w:p>
    <w:p>
      <w:pPr>
        <w:jc w:val="left"/>
      </w:pPr>
      <w:r>
        <w:rPr>
          <w:rFonts w:ascii="Times New Roman" w:hAnsi="Times New Roman"/>
          <w:color w:val="000000"/>
        </w:rPr>
        <w:t>If income or family size is missing, or family size is zero, per-capita income is set to null.</w:t>
      </w:r>
    </w:p>
    <w:p>
      <w:pPr>
        <w:pStyle w:val="Heading3"/>
      </w:pPr>
      <w:r>
        <w:t>4.5 Data Quality Framework</w:t>
      </w:r>
    </w:p>
    <w:p>
      <w:pPr>
        <w:jc w:val="left"/>
      </w:pPr>
      <w:r>
        <w:rPr>
          <w:rFonts w:ascii="Times New Roman" w:hAnsi="Times New Roman"/>
          <w:color w:val="000000"/>
        </w:rPr>
        <w:t>Data quality outputs included:</w:t>
      </w:r>
    </w:p>
    <w:p>
      <w:pPr>
        <w:pStyle w:val="ListBullet"/>
        <w:jc w:val="left"/>
      </w:pPr>
      <w:r>
        <w:rPr>
          <w:rFonts w:ascii="Times New Roman" w:hAnsi="Times New Roman"/>
          <w:color w:val="000000"/>
        </w:rPr>
        <w:t>Overall missingness and invalid value counts</w:t>
      </w:r>
    </w:p>
    <w:p>
      <w:pPr>
        <w:pStyle w:val="ListBullet"/>
        <w:jc w:val="left"/>
      </w:pPr>
      <w:r>
        <w:rPr>
          <w:rFonts w:ascii="Times New Roman" w:hAnsi="Times New Roman"/>
          <w:color w:val="000000"/>
        </w:rPr>
        <w:t>Column-level missingness report</w:t>
      </w:r>
    </w:p>
    <w:p>
      <w:pPr>
        <w:pStyle w:val="ListBullet"/>
        <w:jc w:val="left"/>
      </w:pPr>
      <w:r>
        <w:rPr>
          <w:rFonts w:ascii="Times New Roman" w:hAnsi="Times New Roman"/>
          <w:color w:val="000000"/>
        </w:rPr>
        <w:t>Conditional/skip-logic column identification to avoid misclassifying expected missingness as poor data quality</w:t>
      </w:r>
    </w:p>
    <w:p>
      <w:pPr>
        <w:pStyle w:val="ListBullet"/>
        <w:jc w:val="left"/>
      </w:pPr>
      <w:r>
        <w:rPr>
          <w:rFonts w:ascii="Times New Roman" w:hAnsi="Times New Roman"/>
          <w:color w:val="000000"/>
        </w:rPr>
        <w:t>Family-size consistency checks (reported family members vs male + female members)</w:t>
      </w:r>
    </w:p>
    <w:p>
      <w:pPr>
        <w:pStyle w:val="Heading3"/>
      </w:pPr>
      <w:r>
        <w:t>4.6 Statistical Analysis Plan</w:t>
      </w:r>
    </w:p>
    <w:p>
      <w:pPr>
        <w:jc w:val="left"/>
      </w:pPr>
      <w:r>
        <w:rPr>
          <w:rFonts w:ascii="Times New Roman" w:hAnsi="Times New Roman"/>
          <w:color w:val="000000"/>
        </w:rPr>
        <w:t>All analyses used alpha = 0.05 (two-sided).</w:t>
      </w:r>
    </w:p>
    <w:p>
      <w:pPr>
        <w:pStyle w:val="Heading4"/>
      </w:pPr>
      <w:r>
        <w:t>Descriptive Analysis</w:t>
      </w:r>
    </w:p>
    <w:p>
      <w:pPr>
        <w:pStyle w:val="ListBullet"/>
        <w:jc w:val="left"/>
      </w:pPr>
      <w:r>
        <w:rPr>
          <w:rFonts w:ascii="Times New Roman" w:hAnsi="Times New Roman"/>
          <w:color w:val="000000"/>
        </w:rPr>
        <w:t>Categorical variables: counts, percentages, proportions</w:t>
      </w:r>
    </w:p>
    <w:p>
      <w:pPr>
        <w:pStyle w:val="ListBullet"/>
        <w:jc w:val="left"/>
      </w:pPr>
      <w:r>
        <w:rPr>
          <w:rFonts w:ascii="Times New Roman" w:hAnsi="Times New Roman"/>
          <w:color w:val="000000"/>
        </w:rPr>
        <w:t>Continuous variables: mean, median, standard deviation (SD), min, max, quartiles where relevant</w:t>
      </w:r>
    </w:p>
    <w:p>
      <w:pPr>
        <w:pStyle w:val="Heading4"/>
      </w:pPr>
      <w:r>
        <w:t>Group Comparison: Maternal Education vs Scores</w:t>
      </w:r>
    </w:p>
    <w:p>
      <w:pPr>
        <w:pStyle w:val="ListBullet"/>
        <w:jc w:val="left"/>
      </w:pPr>
      <w:r>
        <w:rPr>
          <w:rFonts w:ascii="Times New Roman" w:hAnsi="Times New Roman"/>
          <w:color w:val="000000"/>
        </w:rPr>
        <w:t>Assumption checks:</w:t>
      </w:r>
    </w:p>
    <w:p>
      <w:pPr>
        <w:pStyle w:val="ListBullet"/>
        <w:jc w:val="left"/>
      </w:pPr>
      <w:r>
        <w:rPr>
          <w:rFonts w:ascii="Times New Roman" w:hAnsi="Times New Roman"/>
          <w:color w:val="000000"/>
        </w:rPr>
        <w:t>Shapiro-Wilk normality by group (when n &gt;= 3)</w:t>
      </w:r>
    </w:p>
    <w:p>
      <w:pPr>
        <w:pStyle w:val="ListBullet"/>
        <w:jc w:val="left"/>
      </w:pPr>
      <w:r>
        <w:rPr>
          <w:rFonts w:ascii="Times New Roman" w:hAnsi="Times New Roman"/>
          <w:color w:val="000000"/>
        </w:rPr>
        <w:t>Levene's test for variance homogeneity (when feasible)</w:t>
      </w:r>
    </w:p>
    <w:p>
      <w:pPr>
        <w:pStyle w:val="ListBullet"/>
        <w:jc w:val="left"/>
      </w:pPr>
      <w:r>
        <w:rPr>
          <w:rFonts w:ascii="Times New Roman" w:hAnsi="Times New Roman"/>
          <w:color w:val="000000"/>
        </w:rPr>
        <w:t>Group-size adequacy screening</w:t>
      </w:r>
    </w:p>
    <w:p>
      <w:pPr>
        <w:pStyle w:val="ListBullet"/>
        <w:jc w:val="left"/>
      </w:pPr>
      <w:r>
        <w:rPr>
          <w:rFonts w:ascii="Times New Roman" w:hAnsi="Times New Roman"/>
          <w:color w:val="000000"/>
        </w:rPr>
        <w:t>Decision rule:</w:t>
      </w:r>
    </w:p>
    <w:p>
      <w:pPr>
        <w:pStyle w:val="ListBullet"/>
        <w:jc w:val="left"/>
      </w:pPr>
      <w:r>
        <w:rPr>
          <w:rFonts w:ascii="Times New Roman" w:hAnsi="Times New Roman"/>
          <w:color w:val="000000"/>
        </w:rPr>
        <w:t>ANOVA if assumptions met</w:t>
      </w:r>
    </w:p>
    <w:p>
      <w:pPr>
        <w:pStyle w:val="ListBullet"/>
        <w:jc w:val="left"/>
      </w:pPr>
      <w:r>
        <w:rPr>
          <w:rFonts w:ascii="Times New Roman" w:hAnsi="Times New Roman"/>
          <w:color w:val="000000"/>
        </w:rPr>
        <w:t>Kruskal-Wallis if assumptions violated or insufficient for parametric testing</w:t>
      </w:r>
    </w:p>
    <w:p>
      <w:pPr>
        <w:pStyle w:val="ListBullet"/>
        <w:jc w:val="left"/>
      </w:pPr>
      <w:r>
        <w:rPr>
          <w:rFonts w:ascii="Times New Roman" w:hAnsi="Times New Roman"/>
          <w:color w:val="000000"/>
        </w:rPr>
        <w:t>Effect size:</w:t>
      </w:r>
    </w:p>
    <w:p>
      <w:pPr>
        <w:pStyle w:val="ListBullet"/>
        <w:jc w:val="left"/>
      </w:pPr>
      <w:r>
        <w:rPr>
          <w:rFonts w:ascii="Times New Roman" w:hAnsi="Times New Roman"/>
          <w:color w:val="000000"/>
        </w:rPr>
        <w:t>Epsilon-squared for Kruskal-Wallis</w:t>
      </w:r>
    </w:p>
    <w:p>
      <w:pPr>
        <w:pStyle w:val="Heading4"/>
      </w:pPr>
      <w:r>
        <w:t>Correlation Analysis</w:t>
      </w:r>
    </w:p>
    <w:p>
      <w:pPr>
        <w:pStyle w:val="ListBullet"/>
        <w:jc w:val="left"/>
      </w:pPr>
      <w:r>
        <w:rPr>
          <w:rFonts w:ascii="Times New Roman" w:hAnsi="Times New Roman"/>
          <w:color w:val="000000"/>
        </w:rPr>
        <w:t>Primary method: Pearson correlation with complete-case p-values.</w:t>
      </w:r>
    </w:p>
    <w:p>
      <w:pPr>
        <w:pStyle w:val="ListBullet"/>
        <w:jc w:val="left"/>
      </w:pPr>
      <w:r>
        <w:rPr>
          <w:rFonts w:ascii="Times New Roman" w:hAnsi="Times New Roman"/>
          <w:color w:val="000000"/>
        </w:rPr>
        <w:t>Reported key associations: age-knowledge, knowledge-practice, income-score relationships.</w:t>
      </w:r>
    </w:p>
    <w:p>
      <w:pPr>
        <w:pStyle w:val="Heading3"/>
      </w:pPr>
      <w:r>
        <w:t>4.7 Sensitivity Analyses</w:t>
      </w:r>
    </w:p>
    <w:p>
      <w:pPr>
        <w:jc w:val="left"/>
      </w:pPr>
      <w:r>
        <w:rPr>
          <w:rFonts w:ascii="Times New Roman" w:hAnsi="Times New Roman"/>
          <w:color w:val="000000"/>
        </w:rPr>
        <w:t>To address methodological criticism risks, two sensitivity checks were conducted:</w:t>
      </w:r>
    </w:p>
    <w:p>
      <w:pPr>
        <w:pStyle w:val="ListNumber"/>
        <w:jc w:val="left"/>
      </w:pPr>
      <w:r>
        <w:rPr>
          <w:rFonts w:ascii="Times New Roman" w:hAnsi="Times New Roman"/>
          <w:b/>
          <w:color w:val="000000"/>
        </w:rPr>
        <w:t>Group imbalance sensitivity:</w:t>
      </w:r>
      <w:r>
        <w:rPr>
          <w:rFonts w:ascii="Times New Roman" w:hAnsi="Times New Roman"/>
          <w:color w:val="000000"/>
        </w:rPr>
        <w:t xml:space="preserve"> Kruskal-Wallis repeated after excluding maternal education level 5 (n=1).</w:t>
      </w:r>
    </w:p>
    <w:p>
      <w:pPr>
        <w:pStyle w:val="ListNumber"/>
        <w:jc w:val="left"/>
      </w:pPr>
      <w:r>
        <w:rPr>
          <w:rFonts w:ascii="Times New Roman" w:hAnsi="Times New Roman"/>
          <w:b/>
          <w:color w:val="000000"/>
        </w:rPr>
        <w:t>Skew robustness sensitivity:</w:t>
      </w:r>
      <w:r>
        <w:rPr>
          <w:rFonts w:ascii="Times New Roman" w:hAnsi="Times New Roman"/>
          <w:color w:val="000000"/>
        </w:rPr>
        <w:t xml:space="preserve"> Spearman correlations for key variable pairs given strong income skew and outliers.</w:t>
      </w:r>
    </w:p>
    <w:p>
      <w:pPr>
        <w:pStyle w:val="Heading3"/>
      </w:pPr>
      <w:r>
        <w:t>4.8 Ethical Considerations</w:t>
      </w:r>
    </w:p>
    <w:p>
      <w:pPr>
        <w:jc w:val="left"/>
      </w:pPr>
      <w:r>
        <w:rPr>
          <w:rFonts w:ascii="Times New Roman" w:hAnsi="Times New Roman"/>
          <w:color w:val="000000"/>
        </w:rPr>
        <w:t>The source protocol documents parental consent, confidentiality safeguards, and school/institutional permission plans. This manuscript is based on de-identified analytic outputs and does not include personally identifying information.</w:t>
      </w:r>
    </w:p>
    <w:p/>
    <w:p>
      <w:pPr>
        <w:pStyle w:val="Heading2"/>
      </w:pPr>
      <w:r>
        <w:t>5. Results</w:t>
      </w:r>
    </w:p>
    <w:p>
      <w:pPr>
        <w:pStyle w:val="Heading3"/>
      </w:pPr>
      <w:r>
        <w:t>5.1 Participant Flow and Analysis Base</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Stage</w:t>
            </w:r>
          </w:p>
        </w:tc>
        <w:tc>
          <w:tcPr>
            <w:tcW w:type="dxa" w:w="4680"/>
          </w:tcPr>
          <w:p>
            <w:pPr>
              <w:spacing w:after="60"/>
            </w:pPr>
            <w:r>
              <w:rPr>
                <w:rFonts w:ascii="Times New Roman" w:hAnsi="Times New Roman"/>
                <w:b/>
                <w:color w:val="000000"/>
                <w:sz w:val="20"/>
              </w:rPr>
              <w:t>n</w:t>
            </w:r>
          </w:p>
        </w:tc>
      </w:tr>
      <w:tr>
        <w:tc>
          <w:tcPr>
            <w:tcW w:type="dxa" w:w="4680"/>
          </w:tcPr>
          <w:p>
            <w:pPr>
              <w:spacing w:after="60"/>
            </w:pPr>
            <w:r>
              <w:rPr>
                <w:rFonts w:ascii="Times New Roman" w:hAnsi="Times New Roman"/>
                <w:color w:val="000000"/>
                <w:sz w:val="20"/>
              </w:rPr>
              <w:t>Raw records loaded</w:t>
            </w:r>
          </w:p>
        </w:tc>
        <w:tc>
          <w:tcPr>
            <w:tcW w:type="dxa" w:w="4680"/>
          </w:tcPr>
          <w:p>
            <w:pPr>
              <w:spacing w:after="60"/>
              <w:jc w:val="right"/>
            </w:pPr>
            <w:r>
              <w:rPr>
                <w:rFonts w:ascii="Times New Roman" w:hAnsi="Times New Roman"/>
                <w:color w:val="000000"/>
                <w:sz w:val="20"/>
              </w:rPr>
              <w:t>160</w:t>
            </w:r>
          </w:p>
        </w:tc>
      </w:tr>
      <w:tr>
        <w:tc>
          <w:tcPr>
            <w:tcW w:type="dxa" w:w="4680"/>
          </w:tcPr>
          <w:p>
            <w:pPr>
              <w:spacing w:after="60"/>
            </w:pPr>
            <w:r>
              <w:rPr>
                <w:rFonts w:ascii="Times New Roman" w:hAnsi="Times New Roman"/>
                <w:color w:val="000000"/>
                <w:sz w:val="20"/>
              </w:rPr>
              <w:t>Excluded (missing maternal education)</w:t>
            </w:r>
          </w:p>
        </w:tc>
        <w:tc>
          <w:tcPr>
            <w:tcW w:type="dxa" w:w="4680"/>
          </w:tcPr>
          <w:p>
            <w:pPr>
              <w:spacing w:after="60"/>
              <w:jc w:val="right"/>
            </w:pPr>
            <w:r>
              <w:rPr>
                <w:rFonts w:ascii="Times New Roman" w:hAnsi="Times New Roman"/>
                <w:color w:val="000000"/>
                <w:sz w:val="20"/>
              </w:rPr>
              <w:t>40</w:t>
            </w:r>
          </w:p>
        </w:tc>
      </w:tr>
      <w:tr>
        <w:tc>
          <w:tcPr>
            <w:tcW w:type="dxa" w:w="4680"/>
          </w:tcPr>
          <w:p>
            <w:pPr>
              <w:spacing w:after="60"/>
            </w:pPr>
            <w:r>
              <w:rPr>
                <w:rFonts w:ascii="Times New Roman" w:hAnsi="Times New Roman"/>
                <w:color w:val="000000"/>
                <w:sz w:val="20"/>
              </w:rPr>
              <w:t>Final records analyzed</w:t>
            </w:r>
          </w:p>
        </w:tc>
        <w:tc>
          <w:tcPr>
            <w:tcW w:type="dxa" w:w="4680"/>
          </w:tcPr>
          <w:p>
            <w:pPr>
              <w:spacing w:after="60"/>
              <w:jc w:val="right"/>
            </w:pPr>
            <w:r>
              <w:rPr>
                <w:rFonts w:ascii="Times New Roman" w:hAnsi="Times New Roman"/>
                <w:color w:val="000000"/>
                <w:sz w:val="20"/>
              </w:rPr>
              <w:t>120</w:t>
            </w:r>
          </w:p>
        </w:tc>
      </w:tr>
    </w:tbl>
    <w:p/>
    <w:p>
      <w:pPr>
        <w:pStyle w:val="Heading3"/>
      </w:pPr>
      <w:r>
        <w:t>5.2 Demographic and Household Profile</w:t>
      </w:r>
    </w:p>
    <w:p>
      <w:pPr>
        <w:jc w:val="left"/>
      </w:pPr>
      <w:r>
        <w:rPr>
          <w:rFonts w:ascii="Times New Roman" w:hAnsi="Times New Roman"/>
          <w:color w:val="000000"/>
        </w:rPr>
        <w:t>The mean age was 14.47 years (SD 1.40; range 12-18). Mean household monthly income was 48,833 (SD 57,440.99), with a high upper tail (max 600,000), indicating substantial right-skewness. Average family size was 6.66 (SD 2.38). Mean per-capita income was 8,648.83 (SD 10,763.62; median 6,428.57).</w:t>
      </w:r>
    </w:p>
    <w:p>
      <w:pPr>
        <w:pStyle w:val="Heading4"/>
      </w:pPr>
      <w:r>
        <w:t>Table 1. Demographic Characteristics (n=120)</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60"/>
            </w:pPr>
            <w:r>
              <w:rPr>
                <w:rFonts w:ascii="Times New Roman" w:hAnsi="Times New Roman"/>
                <w:b/>
                <w:color w:val="000000"/>
                <w:sz w:val="20"/>
              </w:rPr>
              <w:t>Variable</w:t>
            </w:r>
          </w:p>
        </w:tc>
        <w:tc>
          <w:tcPr>
            <w:tcW w:type="dxa" w:w="3120"/>
          </w:tcPr>
          <w:p>
            <w:pPr>
              <w:spacing w:after="60"/>
            </w:pPr>
            <w:r>
              <w:rPr>
                <w:rFonts w:ascii="Times New Roman" w:hAnsi="Times New Roman"/>
                <w:b/>
                <w:color w:val="000000"/>
                <w:sz w:val="20"/>
              </w:rPr>
              <w:t>Category/Statistic</w:t>
            </w:r>
          </w:p>
        </w:tc>
        <w:tc>
          <w:tcPr>
            <w:tcW w:type="dxa" w:w="3120"/>
          </w:tcPr>
          <w:p>
            <w:pPr>
              <w:spacing w:after="60"/>
            </w:pPr>
            <w:r>
              <w:rPr>
                <w:rFonts w:ascii="Times New Roman" w:hAnsi="Times New Roman"/>
                <w:b/>
                <w:color w:val="000000"/>
                <w:sz w:val="20"/>
              </w:rPr>
              <w:t>Value</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14.47 +/- 1.40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14.0 (13.0-15.0)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Range</w:t>
            </w:r>
          </w:p>
        </w:tc>
        <w:tc>
          <w:tcPr>
            <w:tcW w:type="dxa" w:w="3120"/>
          </w:tcPr>
          <w:p>
            <w:pPr>
              <w:spacing w:after="60"/>
            </w:pPr>
            <w:r>
              <w:rPr>
                <w:rFonts w:ascii="Times New Roman" w:hAnsi="Times New Roman"/>
                <w:color w:val="000000"/>
                <w:sz w:val="20"/>
              </w:rPr>
              <w:t>12-18</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48,833.33 +/- 57,440.99</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45,000 (30,000-50,000)</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6.66 +/- 2.38</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 (5-8)</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8,648.83 +/- 10,763.62</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6,428.57 (4,285.71-10,000)</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Level 1 (Illiterate/Primary)</w:t>
            </w:r>
          </w:p>
        </w:tc>
        <w:tc>
          <w:tcPr>
            <w:tcW w:type="dxa" w:w="3120"/>
          </w:tcPr>
          <w:p>
            <w:pPr>
              <w:spacing w:after="60"/>
            </w:pPr>
            <w:r>
              <w:rPr>
                <w:rFonts w:ascii="Times New Roman" w:hAnsi="Times New Roman"/>
                <w:color w:val="000000"/>
                <w:sz w:val="20"/>
              </w:rPr>
              <w:t>86 (71.7%)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Level 2 (Middle)</w:t>
            </w:r>
          </w:p>
        </w:tc>
        <w:tc>
          <w:tcPr>
            <w:tcW w:type="dxa" w:w="3120"/>
          </w:tcPr>
          <w:p>
            <w:pPr>
              <w:spacing w:after="60"/>
            </w:pPr>
            <w:r>
              <w:rPr>
                <w:rFonts w:ascii="Times New Roman" w:hAnsi="Times New Roman"/>
                <w:color w:val="000000"/>
                <w:sz w:val="20"/>
              </w:rPr>
              <w:t>17 (14.2%)</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Level 3 (Secondary)</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Level 4 (Intermediate)</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Level 5 (Higher)</w:t>
            </w:r>
          </w:p>
        </w:tc>
        <w:tc>
          <w:tcPr>
            <w:tcW w:type="dxa" w:w="3120"/>
          </w:tcPr>
          <w:p>
            <w:pPr>
              <w:spacing w:after="60"/>
            </w:pPr>
            <w:r>
              <w:rPr>
                <w:rFonts w:ascii="Times New Roman" w:hAnsi="Times New Roman"/>
                <w:color w:val="000000"/>
                <w:sz w:val="20"/>
              </w:rPr>
              <w:t>1 (0.8%)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Non-working</w:t>
            </w:r>
          </w:p>
        </w:tc>
        <w:tc>
          <w:tcPr>
            <w:tcW w:type="dxa" w:w="3120"/>
          </w:tcPr>
          <w:p>
            <w:pPr>
              <w:spacing w:after="60"/>
            </w:pPr>
            <w:r>
              <w:rPr>
                <w:rFonts w:ascii="Times New Roman" w:hAnsi="Times New Roman"/>
                <w:color w:val="000000"/>
                <w:sz w:val="20"/>
              </w:rPr>
              <w:t>103 (85.8%)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Working</w:t>
            </w:r>
          </w:p>
        </w:tc>
        <w:tc>
          <w:tcPr>
            <w:tcW w:type="dxa" w:w="3120"/>
          </w:tcPr>
          <w:p>
            <w:pPr>
              <w:spacing w:after="60"/>
            </w:pPr>
            <w:r>
              <w:rPr>
                <w:rFonts w:ascii="Times New Roman" w:hAnsi="Times New Roman"/>
                <w:color w:val="000000"/>
                <w:sz w:val="20"/>
              </w:rPr>
              <w:t>14 (11.7%)</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Other/unlabeled code</w:t>
            </w:r>
          </w:p>
        </w:tc>
        <w:tc>
          <w:tcPr>
            <w:tcW w:type="dxa" w:w="3120"/>
          </w:tcPr>
          <w:p>
            <w:pPr>
              <w:spacing w:after="60"/>
            </w:pPr>
            <w:r>
              <w:rPr>
                <w:rFonts w:ascii="Times New Roman" w:hAnsi="Times New Roman"/>
                <w:color w:val="000000"/>
                <w:sz w:val="20"/>
              </w:rPr>
              <w:t>3 (2.5%)</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35 (29.2%)</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28 (23.3%)</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9 (7.5%)</w:t>
            </w:r>
          </w:p>
        </w:tc>
      </w:tr>
    </w:tbl>
    <w:p/>
    <w:p>
      <w:pPr>
        <w:pStyle w:val="Heading3"/>
      </w:pPr>
      <w:r>
        <w:t>5.3 Knowledge and Practice Score Distribution</w:t>
      </w:r>
    </w:p>
    <w:p>
      <w:pPr>
        <w:jc w:val="left"/>
      </w:pPr>
      <w:r>
        <w:rPr>
          <w:rFonts w:ascii="Times New Roman" w:hAnsi="Times New Roman"/>
          <w:color w:val="000000"/>
        </w:rPr>
        <w:t>Knowledge scores ranged from 3 to 8 (mean 5.82, SD 1.08; median 6). Practice scores ranged from 4 to 7 (mean 5.68, SD 0.58; median 6).</w:t>
      </w:r>
    </w:p>
    <w:p>
      <w:pPr>
        <w:pStyle w:val="Heading4"/>
      </w:pPr>
      <w:r>
        <w:t>Table 2. Overall Score Distribution</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Score Domain</w:t>
            </w:r>
          </w:p>
        </w:tc>
        <w:tc>
          <w:tcPr>
            <w:tcW w:type="dxa" w:w="4680"/>
          </w:tcPr>
          <w:p>
            <w:pPr>
              <w:spacing w:after="60"/>
            </w:pPr>
            <w:r>
              <w:rPr>
                <w:rFonts w:ascii="Times New Roman" w:hAnsi="Times New Roman"/>
                <w:b/>
                <w:color w:val="000000"/>
                <w:sz w:val="20"/>
              </w:rPr>
              <w:t>Summary</w:t>
            </w:r>
          </w:p>
        </w:tc>
      </w:tr>
      <w:tr>
        <w:tc>
          <w:tcPr>
            <w:tcW w:type="dxa" w:w="4680"/>
          </w:tcPr>
          <w:p>
            <w:pPr>
              <w:spacing w:after="60"/>
            </w:pPr>
            <w:r>
              <w:rPr>
                <w:rFonts w:ascii="Times New Roman" w:hAnsi="Times New Roman"/>
                <w:color w:val="000000"/>
                <w:sz w:val="20"/>
              </w:rPr>
              <w:t>Knowledge score (0-9)</w:t>
            </w:r>
          </w:p>
        </w:tc>
        <w:tc>
          <w:tcPr>
            <w:tcW w:type="dxa" w:w="4680"/>
          </w:tcPr>
          <w:p>
            <w:pPr>
              <w:spacing w:after="60"/>
            </w:pPr>
            <w:r>
              <w:rPr>
                <w:rFonts w:ascii="Times New Roman" w:hAnsi="Times New Roman"/>
                <w:color w:val="000000"/>
                <w:sz w:val="20"/>
              </w:rPr>
              <w:t>Mean 5.82, Median 6.00, SD 1.08, Min 3, Max 8</w:t>
            </w:r>
          </w:p>
        </w:tc>
      </w:tr>
      <w:tr>
        <w:tc>
          <w:tcPr>
            <w:tcW w:type="dxa" w:w="4680"/>
          </w:tcPr>
          <w:p>
            <w:pPr>
              <w:spacing w:after="60"/>
            </w:pPr>
            <w:r>
              <w:rPr>
                <w:rFonts w:ascii="Times New Roman" w:hAnsi="Times New Roman"/>
                <w:color w:val="000000"/>
                <w:sz w:val="20"/>
              </w:rPr>
              <w:t>Practice score (0-7)</w:t>
            </w:r>
          </w:p>
        </w:tc>
        <w:tc>
          <w:tcPr>
            <w:tcW w:type="dxa" w:w="4680"/>
          </w:tcPr>
          <w:p>
            <w:pPr>
              <w:spacing w:after="60"/>
            </w:pPr>
            <w:r>
              <w:rPr>
                <w:rFonts w:ascii="Times New Roman" w:hAnsi="Times New Roman"/>
                <w:color w:val="000000"/>
                <w:sz w:val="20"/>
              </w:rPr>
              <w:t>Mean 5.68, Median 6.00, SD 0.58, Min 4, Max 7</w:t>
            </w:r>
          </w:p>
        </w:tc>
      </w:tr>
    </w:tbl>
    <w:p/>
    <w:p>
      <w:pPr>
        <w:jc w:val="left"/>
      </w:pPr>
      <w:r>
        <w:rPr>
          <w:rFonts w:ascii="Times New Roman" w:hAnsi="Times New Roman"/>
          <w:color w:val="000000"/>
        </w:rPr>
        <w:t>Knowledge score frequencies: 3 (2.5%), 4 (10.8%), 5 (19.2%), 6 (40.0%), 7 (25.0%), 8 (2.5%). Practice score frequencies: 4 (5.0%), 5 (22.5%), 6 (71.7%), 7 (0.8%).</w:t>
      </w:r>
    </w:p>
    <w:p>
      <w:pPr>
        <w:pStyle w:val="Heading3"/>
      </w:pPr>
      <w:r>
        <w:t>5.4 Maternal Education and Outcome Scores</w:t>
      </w:r>
    </w:p>
    <w:p>
      <w:pPr>
        <w:pStyle w:val="Heading4"/>
      </w:pPr>
      <w:r>
        <w:t>Table 3. Scores by Maternal Education Level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Maternal education level</w:t>
            </w:r>
          </w:p>
        </w:tc>
        <w:tc>
          <w:tcPr>
            <w:tcW w:type="dxa" w:w="1560"/>
          </w:tcPr>
          <w:p>
            <w:pPr>
              <w:spacing w:after="60"/>
            </w:pPr>
            <w:r>
              <w:rPr>
                <w:rFonts w:ascii="Times New Roman" w:hAnsi="Times New Roman"/>
                <w:b/>
                <w:color w:val="000000"/>
                <w:sz w:val="20"/>
              </w:rPr>
              <w:t>n</w:t>
            </w:r>
          </w:p>
        </w:tc>
        <w:tc>
          <w:tcPr>
            <w:tcW w:type="dxa" w:w="1560"/>
          </w:tcPr>
          <w:p>
            <w:pPr>
              <w:spacing w:after="60"/>
            </w:pPr>
            <w:r>
              <w:rPr>
                <w:rFonts w:ascii="Times New Roman" w:hAnsi="Times New Roman"/>
                <w:b/>
                <w:color w:val="000000"/>
                <w:sz w:val="20"/>
              </w:rPr>
              <w:t>Knowledge mean +/- SD</w:t>
            </w:r>
          </w:p>
        </w:tc>
        <w:tc>
          <w:tcPr>
            <w:tcW w:type="dxa" w:w="1560"/>
          </w:tcPr>
          <w:p>
            <w:pPr>
              <w:spacing w:after="60"/>
            </w:pPr>
            <w:r>
              <w:rPr>
                <w:rFonts w:ascii="Times New Roman" w:hAnsi="Times New Roman"/>
                <w:b/>
                <w:color w:val="000000"/>
                <w:sz w:val="20"/>
              </w:rPr>
              <w:t>Knowledge median (IQR)</w:t>
            </w:r>
          </w:p>
        </w:tc>
        <w:tc>
          <w:tcPr>
            <w:tcW w:type="dxa" w:w="1560"/>
          </w:tcPr>
          <w:p>
            <w:pPr>
              <w:spacing w:after="60"/>
            </w:pPr>
            <w:r>
              <w:rPr>
                <w:rFonts w:ascii="Times New Roman" w:hAnsi="Times New Roman"/>
                <w:b/>
                <w:color w:val="000000"/>
                <w:sz w:val="20"/>
              </w:rPr>
              <w:t>Practice mean +/- SD</w:t>
            </w:r>
          </w:p>
        </w:tc>
        <w:tc>
          <w:tcPr>
            <w:tcW w:type="dxa" w:w="1560"/>
          </w:tcPr>
          <w:p>
            <w:pPr>
              <w:spacing w:after="60"/>
            </w:pPr>
            <w:r>
              <w:rPr>
                <w:rFonts w:ascii="Times New Roman" w:hAnsi="Times New Roman"/>
                <w:b/>
                <w:color w:val="000000"/>
                <w:sz w:val="20"/>
              </w:rPr>
              <w:t>Practice median (IQR)</w:t>
            </w:r>
          </w:p>
        </w:tc>
      </w:tr>
      <w:tr>
        <w:tc>
          <w:tcPr>
            <w:tcW w:type="dxa" w:w="1560"/>
          </w:tcPr>
          <w:p>
            <w:pPr>
              <w:spacing w:after="60"/>
            </w:pPr>
            <w:r>
              <w:rPr>
                <w:rFonts w:ascii="Times New Roman" w:hAnsi="Times New Roman"/>
                <w:color w:val="000000"/>
                <w:sz w:val="20"/>
              </w:rPr>
              <w:t>1 (Illiterate/Primary)</w:t>
            </w:r>
          </w:p>
        </w:tc>
        <w:tc>
          <w:tcPr>
            <w:tcW w:type="dxa" w:w="1560"/>
          </w:tcPr>
          <w:p>
            <w:pPr>
              <w:spacing w:after="60"/>
              <w:jc w:val="right"/>
            </w:pPr>
            <w:r>
              <w:rPr>
                <w:rFonts w:ascii="Times New Roman" w:hAnsi="Times New Roman"/>
                <w:color w:val="000000"/>
                <w:sz w:val="20"/>
              </w:rPr>
              <w:t>86</w:t>
            </w:r>
          </w:p>
        </w:tc>
        <w:tc>
          <w:tcPr>
            <w:tcW w:type="dxa" w:w="1560"/>
          </w:tcPr>
          <w:p>
            <w:pPr>
              <w:spacing w:after="60"/>
            </w:pPr>
            <w:r>
              <w:rPr>
                <w:rFonts w:ascii="Times New Roman" w:hAnsi="Times New Roman"/>
                <w:color w:val="000000"/>
                <w:sz w:val="20"/>
              </w:rPr>
              <w:t>5.73 +/- 1.16</w:t>
            </w:r>
          </w:p>
        </w:tc>
        <w:tc>
          <w:tcPr>
            <w:tcW w:type="dxa" w:w="1560"/>
          </w:tcPr>
          <w:p>
            <w:pPr>
              <w:spacing w:after="60"/>
            </w:pPr>
            <w:r>
              <w:rPr>
                <w:rFonts w:ascii="Times New Roman" w:hAnsi="Times New Roman"/>
                <w:color w:val="000000"/>
                <w:sz w:val="20"/>
              </w:rPr>
              <w:t>6.0 (5.0-7.0)</w:t>
            </w:r>
          </w:p>
        </w:tc>
        <w:tc>
          <w:tcPr>
            <w:tcW w:type="dxa" w:w="1560"/>
          </w:tcPr>
          <w:p>
            <w:pPr>
              <w:spacing w:after="60"/>
            </w:pPr>
            <w:r>
              <w:rPr>
                <w:rFonts w:ascii="Times New Roman" w:hAnsi="Times New Roman"/>
                <w:color w:val="000000"/>
                <w:sz w:val="20"/>
              </w:rPr>
              <w:t>5.59 +/- 0.62</w:t>
            </w:r>
          </w:p>
        </w:tc>
        <w:tc>
          <w:tcPr>
            <w:tcW w:type="dxa" w:w="1560"/>
          </w:tcPr>
          <w:p>
            <w:pPr>
              <w:spacing w:after="60"/>
            </w:pPr>
            <w:r>
              <w:rPr>
                <w:rFonts w:ascii="Times New Roman" w:hAnsi="Times New Roman"/>
                <w:color w:val="000000"/>
                <w:sz w:val="20"/>
              </w:rPr>
              <w:t>6.0 (5.0-6.0)</w:t>
            </w:r>
          </w:p>
        </w:tc>
      </w:tr>
      <w:tr>
        <w:tc>
          <w:tcPr>
            <w:tcW w:type="dxa" w:w="1560"/>
          </w:tcPr>
          <w:p>
            <w:pPr>
              <w:spacing w:after="60"/>
            </w:pPr>
            <w:r>
              <w:rPr>
                <w:rFonts w:ascii="Times New Roman" w:hAnsi="Times New Roman"/>
                <w:color w:val="000000"/>
                <w:sz w:val="20"/>
              </w:rPr>
              <w:t>2 (Middle)</w:t>
            </w:r>
          </w:p>
        </w:tc>
        <w:tc>
          <w:tcPr>
            <w:tcW w:type="dxa" w:w="1560"/>
          </w:tcPr>
          <w:p>
            <w:pPr>
              <w:spacing w:after="60"/>
              <w:jc w:val="right"/>
            </w:pPr>
            <w:r>
              <w:rPr>
                <w:rFonts w:ascii="Times New Roman" w:hAnsi="Times New Roman"/>
                <w:color w:val="000000"/>
                <w:sz w:val="20"/>
              </w:rPr>
              <w:t>17</w:t>
            </w:r>
          </w:p>
        </w:tc>
        <w:tc>
          <w:tcPr>
            <w:tcW w:type="dxa" w:w="1560"/>
          </w:tcPr>
          <w:p>
            <w:pPr>
              <w:spacing w:after="60"/>
            </w:pPr>
            <w:r>
              <w:rPr>
                <w:rFonts w:ascii="Times New Roman" w:hAnsi="Times New Roman"/>
                <w:color w:val="000000"/>
                <w:sz w:val="20"/>
              </w:rPr>
              <w:t>5.71 +/- 0.92</w:t>
            </w:r>
          </w:p>
        </w:tc>
        <w:tc>
          <w:tcPr>
            <w:tcW w:type="dxa" w:w="1560"/>
          </w:tcPr>
          <w:p>
            <w:pPr>
              <w:spacing w:after="60"/>
            </w:pPr>
            <w:r>
              <w:rPr>
                <w:rFonts w:ascii="Times New Roman" w:hAnsi="Times New Roman"/>
                <w:color w:val="000000"/>
                <w:sz w:val="20"/>
              </w:rPr>
              <w:t>6.0 (6.0-6.0)</w:t>
            </w:r>
          </w:p>
        </w:tc>
        <w:tc>
          <w:tcPr>
            <w:tcW w:type="dxa" w:w="1560"/>
          </w:tcPr>
          <w:p>
            <w:pPr>
              <w:spacing w:after="60"/>
            </w:pPr>
            <w:r>
              <w:rPr>
                <w:rFonts w:ascii="Times New Roman" w:hAnsi="Times New Roman"/>
                <w:color w:val="000000"/>
                <w:sz w:val="20"/>
              </w:rPr>
              <w:t>5.76 +/- 0.44</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3 (Secondary)</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6.38 +/- 0.52</w:t>
            </w:r>
          </w:p>
        </w:tc>
        <w:tc>
          <w:tcPr>
            <w:tcW w:type="dxa" w:w="1560"/>
          </w:tcPr>
          <w:p>
            <w:pPr>
              <w:spacing w:after="60"/>
            </w:pPr>
            <w:r>
              <w:rPr>
                <w:rFonts w:ascii="Times New Roman" w:hAnsi="Times New Roman"/>
                <w:color w:val="000000"/>
                <w:sz w:val="20"/>
              </w:rPr>
              <w:t>6.0 (6.0-7.0)</w:t>
            </w:r>
          </w:p>
        </w:tc>
        <w:tc>
          <w:tcPr>
            <w:tcW w:type="dxa" w:w="1560"/>
          </w:tcPr>
          <w:p>
            <w:pPr>
              <w:spacing w:after="60"/>
            </w:pPr>
            <w:r>
              <w:rPr>
                <w:rFonts w:ascii="Times New Roman" w:hAnsi="Times New Roman"/>
                <w:color w:val="000000"/>
                <w:sz w:val="20"/>
              </w:rPr>
              <w:t>6.00 +/- 0.00</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4 (Intermediate)</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6.25 +/- 0.71</w:t>
            </w:r>
          </w:p>
        </w:tc>
        <w:tc>
          <w:tcPr>
            <w:tcW w:type="dxa" w:w="1560"/>
          </w:tcPr>
          <w:p>
            <w:pPr>
              <w:spacing w:after="60"/>
            </w:pPr>
            <w:r>
              <w:rPr>
                <w:rFonts w:ascii="Times New Roman" w:hAnsi="Times New Roman"/>
                <w:color w:val="000000"/>
                <w:sz w:val="20"/>
              </w:rPr>
              <w:t>6.0 (6.0-7.0)</w:t>
            </w:r>
          </w:p>
        </w:tc>
        <w:tc>
          <w:tcPr>
            <w:tcW w:type="dxa" w:w="1560"/>
          </w:tcPr>
          <w:p>
            <w:pPr>
              <w:spacing w:after="60"/>
            </w:pPr>
            <w:r>
              <w:rPr>
                <w:rFonts w:ascii="Times New Roman" w:hAnsi="Times New Roman"/>
                <w:color w:val="000000"/>
                <w:sz w:val="20"/>
              </w:rPr>
              <w:t>6.12 +/- 0.35</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5 (Higher)</w:t>
            </w:r>
          </w:p>
        </w:tc>
        <w:tc>
          <w:tcPr>
            <w:tcW w:type="dxa" w:w="1560"/>
          </w:tcPr>
          <w:p>
            <w:pPr>
              <w:spacing w:after="60"/>
              <w:jc w:val="right"/>
            </w:pPr>
            <w:r>
              <w:rPr>
                <w:rFonts w:ascii="Times New Roman" w:hAnsi="Times New Roman"/>
                <w:color w:val="000000"/>
                <w:sz w:val="20"/>
              </w:rPr>
              <w:t>1</w:t>
            </w:r>
          </w:p>
        </w:tc>
        <w:tc>
          <w:tcPr>
            <w:tcW w:type="dxa" w:w="1560"/>
          </w:tcPr>
          <w:p>
            <w:pPr>
              <w:spacing w:after="60"/>
              <w:jc w:val="right"/>
            </w:pPr>
            <w:r>
              <w:rPr>
                <w:rFonts w:ascii="Times New Roman" w:hAnsi="Times New Roman"/>
                <w:color w:val="000000"/>
                <w:sz w:val="20"/>
              </w:rPr>
              <w:t>7.00</w:t>
            </w:r>
          </w:p>
        </w:tc>
        <w:tc>
          <w:tcPr>
            <w:tcW w:type="dxa" w:w="1560"/>
          </w:tcPr>
          <w:p>
            <w:pPr>
              <w:spacing w:after="60"/>
            </w:pPr>
            <w:r>
              <w:rPr>
                <w:rFonts w:ascii="Times New Roman" w:hAnsi="Times New Roman"/>
                <w:color w:val="000000"/>
                <w:sz w:val="20"/>
              </w:rPr>
              <w:t>7.0 (7.0-7.0)</w:t>
            </w:r>
          </w:p>
        </w:tc>
        <w:tc>
          <w:tcPr>
            <w:tcW w:type="dxa" w:w="1560"/>
          </w:tcPr>
          <w:p>
            <w:pPr>
              <w:spacing w:after="60"/>
              <w:jc w:val="right"/>
            </w:pPr>
            <w:r>
              <w:rPr>
                <w:rFonts w:ascii="Times New Roman" w:hAnsi="Times New Roman"/>
                <w:color w:val="000000"/>
                <w:sz w:val="20"/>
              </w:rPr>
              <w:t>6.00</w:t>
            </w:r>
          </w:p>
        </w:tc>
        <w:tc>
          <w:tcPr>
            <w:tcW w:type="dxa" w:w="1560"/>
          </w:tcPr>
          <w:p>
            <w:pPr>
              <w:spacing w:after="60"/>
            </w:pPr>
            <w:r>
              <w:rPr>
                <w:rFonts w:ascii="Times New Roman" w:hAnsi="Times New Roman"/>
                <w:color w:val="000000"/>
                <w:sz w:val="20"/>
              </w:rPr>
              <w:t>6.0 (6.0-6.0)</w:t>
            </w:r>
          </w:p>
        </w:tc>
      </w:tr>
    </w:tbl>
    <w:p/>
    <w:p>
      <w:pPr>
        <w:pStyle w:val="Heading4"/>
      </w:pPr>
      <w:r>
        <w:t>Inferential Test Results</w:t>
      </w:r>
    </w:p>
    <w:p>
      <w:pPr>
        <w:jc w:val="left"/>
      </w:pPr>
      <w:r>
        <w:rPr>
          <w:rFonts w:ascii="Times New Roman" w:hAnsi="Times New Roman"/>
          <w:color w:val="000000"/>
        </w:rPr>
        <w:t>Assumption checks indicated non-normal score behavior and insufficiently balanced group sizes for reliable parametric inference. Kruskal-Wallis was therefore used.</w:t>
      </w:r>
    </w:p>
    <w:p>
      <w:pPr>
        <w:pStyle w:val="Heading4"/>
      </w:pPr>
      <w:r>
        <w:t>Table 4. Maternal Education Association 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Outcome</w:t>
            </w:r>
          </w:p>
        </w:tc>
        <w:tc>
          <w:tcPr>
            <w:tcW w:type="dxa" w:w="1560"/>
          </w:tcPr>
          <w:p>
            <w:pPr>
              <w:spacing w:after="60"/>
            </w:pPr>
            <w:r>
              <w:rPr>
                <w:rFonts w:ascii="Times New Roman" w:hAnsi="Times New Roman"/>
                <w:b/>
                <w:color w:val="000000"/>
                <w:sz w:val="20"/>
              </w:rPr>
              <w:t>Test</w:t>
            </w:r>
          </w:p>
        </w:tc>
        <w:tc>
          <w:tcPr>
            <w:tcW w:type="dxa" w:w="1560"/>
          </w:tcPr>
          <w:p>
            <w:pPr>
              <w:spacing w:after="60"/>
            </w:pPr>
            <w:r>
              <w:rPr>
                <w:rFonts w:ascii="Times New Roman" w:hAnsi="Times New Roman"/>
                <w:b/>
                <w:color w:val="000000"/>
                <w:sz w:val="20"/>
              </w:rPr>
              <w:t>Statistic</w:t>
            </w:r>
          </w:p>
        </w:tc>
        <w:tc>
          <w:tcPr>
            <w:tcW w:type="dxa" w:w="1560"/>
          </w:tcPr>
          <w:p>
            <w:pPr>
              <w:spacing w:after="60"/>
            </w:pPr>
            <w:r>
              <w:rPr>
                <w:rFonts w:ascii="Times New Roman" w:hAnsi="Times New Roman"/>
                <w:b/>
                <w:color w:val="000000"/>
                <w:sz w:val="20"/>
              </w:rPr>
              <w:t>p-value</w:t>
            </w:r>
          </w:p>
        </w:tc>
        <w:tc>
          <w:tcPr>
            <w:tcW w:type="dxa" w:w="1560"/>
          </w:tcPr>
          <w:p>
            <w:pPr>
              <w:spacing w:after="60"/>
            </w:pPr>
            <w:r>
              <w:rPr>
                <w:rFonts w:ascii="Times New Roman" w:hAnsi="Times New Roman"/>
                <w:b/>
                <w:color w:val="000000"/>
                <w:sz w:val="20"/>
              </w:rPr>
              <w:t>Effect size (epsilon-squared)</w:t>
            </w:r>
          </w:p>
        </w:tc>
        <w:tc>
          <w:tcPr>
            <w:tcW w:type="dxa" w:w="1560"/>
          </w:tcPr>
          <w:p>
            <w:pPr>
              <w:spacing w:after="60"/>
            </w:pPr>
            <w:r>
              <w:rPr>
                <w:rFonts w:ascii="Times New Roman" w:hAnsi="Times New Roman"/>
                <w:b/>
                <w:color w:val="000000"/>
                <w:sz w:val="20"/>
              </w:rPr>
              <w:t>Interpretation</w:t>
            </w:r>
          </w:p>
        </w:tc>
      </w:tr>
      <w:tr>
        <w:tc>
          <w:tcPr>
            <w:tcW w:type="dxa" w:w="1560"/>
          </w:tcPr>
          <w:p>
            <w:pPr>
              <w:spacing w:after="60"/>
            </w:pPr>
            <w:r>
              <w:rPr>
                <w:rFonts w:ascii="Times New Roman" w:hAnsi="Times New Roman"/>
                <w:color w:val="000000"/>
                <w:sz w:val="20"/>
              </w:rPr>
              <w:t>Knowledge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H=5.8669</w:t>
            </w:r>
          </w:p>
        </w:tc>
        <w:tc>
          <w:tcPr>
            <w:tcW w:type="dxa" w:w="1560"/>
          </w:tcPr>
          <w:p>
            <w:pPr>
              <w:spacing w:after="60"/>
              <w:jc w:val="right"/>
            </w:pPr>
            <w:r>
              <w:rPr>
                <w:rFonts w:ascii="Times New Roman" w:hAnsi="Times New Roman"/>
                <w:color w:val="000000"/>
                <w:sz w:val="20"/>
              </w:rPr>
              <w:t>0.2093</w:t>
            </w:r>
          </w:p>
        </w:tc>
        <w:tc>
          <w:tcPr>
            <w:tcW w:type="dxa" w:w="1560"/>
          </w:tcPr>
          <w:p>
            <w:pPr>
              <w:spacing w:after="60"/>
              <w:jc w:val="right"/>
            </w:pPr>
            <w:r>
              <w:rPr>
                <w:rFonts w:ascii="Times New Roman" w:hAnsi="Times New Roman"/>
                <w:color w:val="000000"/>
                <w:sz w:val="20"/>
              </w:rPr>
              <w:t>0.0162</w:t>
            </w:r>
          </w:p>
        </w:tc>
        <w:tc>
          <w:tcPr>
            <w:tcW w:type="dxa" w:w="1560"/>
          </w:tcPr>
          <w:p>
            <w:pPr>
              <w:spacing w:after="60"/>
            </w:pPr>
            <w:r>
              <w:rPr>
                <w:rFonts w:ascii="Times New Roman" w:hAnsi="Times New Roman"/>
                <w:color w:val="000000"/>
                <w:sz w:val="20"/>
              </w:rPr>
              <w:t>Not statistically significant</w:t>
            </w:r>
          </w:p>
        </w:tc>
      </w:tr>
      <w:tr>
        <w:tc>
          <w:tcPr>
            <w:tcW w:type="dxa" w:w="1560"/>
          </w:tcPr>
          <w:p>
            <w:pPr>
              <w:spacing w:after="60"/>
            </w:pPr>
            <w:r>
              <w:rPr>
                <w:rFonts w:ascii="Times New Roman" w:hAnsi="Times New Roman"/>
                <w:color w:val="000000"/>
                <w:sz w:val="20"/>
              </w:rPr>
              <w:t>Practice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H=10.1562</w:t>
            </w:r>
          </w:p>
        </w:tc>
        <w:tc>
          <w:tcPr>
            <w:tcW w:type="dxa" w:w="1560"/>
          </w:tcPr>
          <w:p>
            <w:pPr>
              <w:spacing w:after="60"/>
              <w:jc w:val="right"/>
            </w:pPr>
            <w:r>
              <w:rPr>
                <w:rFonts w:ascii="Times New Roman" w:hAnsi="Times New Roman"/>
                <w:color w:val="000000"/>
                <w:sz w:val="20"/>
              </w:rPr>
              <w:t>0.0379</w:t>
            </w:r>
          </w:p>
        </w:tc>
        <w:tc>
          <w:tcPr>
            <w:tcW w:type="dxa" w:w="1560"/>
          </w:tcPr>
          <w:p>
            <w:pPr>
              <w:spacing w:after="60"/>
              <w:jc w:val="right"/>
            </w:pPr>
            <w:r>
              <w:rPr>
                <w:rFonts w:ascii="Times New Roman" w:hAnsi="Times New Roman"/>
                <w:color w:val="000000"/>
                <w:sz w:val="20"/>
              </w:rPr>
              <w:t>0.0535</w:t>
            </w:r>
          </w:p>
        </w:tc>
        <w:tc>
          <w:tcPr>
            <w:tcW w:type="dxa" w:w="1560"/>
          </w:tcPr>
          <w:p>
            <w:pPr>
              <w:spacing w:after="60"/>
            </w:pPr>
            <w:r>
              <w:rPr>
                <w:rFonts w:ascii="Times New Roman" w:hAnsi="Times New Roman"/>
                <w:color w:val="000000"/>
                <w:sz w:val="20"/>
              </w:rPr>
              <w:t>Statistically significant</w:t>
            </w:r>
          </w:p>
        </w:tc>
      </w:tr>
    </w:tbl>
    <w:p/>
    <w:p>
      <w:pPr>
        <w:jc w:val="left"/>
      </w:pPr>
      <w:r>
        <w:rPr>
          <w:rFonts w:ascii="Times New Roman" w:hAnsi="Times New Roman"/>
          <w:color w:val="000000"/>
        </w:rPr>
        <w:t xml:space="preserve">Interpretation: Maternal education level is associated with differences in </w:t>
      </w:r>
      <w:r>
        <w:rPr>
          <w:rFonts w:ascii="Times New Roman" w:hAnsi="Times New Roman"/>
          <w:b/>
          <w:color w:val="000000"/>
        </w:rPr>
        <w:t>practice</w:t>
      </w:r>
      <w:r>
        <w:rPr>
          <w:rFonts w:ascii="Times New Roman" w:hAnsi="Times New Roman"/>
          <w:color w:val="000000"/>
        </w:rPr>
        <w:t xml:space="preserve"> scores, but not significantly associated with </w:t>
      </w:r>
      <w:r>
        <w:rPr>
          <w:rFonts w:ascii="Times New Roman" w:hAnsi="Times New Roman"/>
          <w:b/>
          <w:color w:val="000000"/>
        </w:rPr>
        <w:t>knowledge</w:t>
      </w:r>
      <w:r>
        <w:rPr>
          <w:rFonts w:ascii="Times New Roman" w:hAnsi="Times New Roman"/>
          <w:color w:val="000000"/>
        </w:rPr>
        <w:t xml:space="preserve"> scores in this dataset.</w:t>
      </w:r>
    </w:p>
    <w:p>
      <w:pPr>
        <w:pStyle w:val="Heading3"/>
      </w:pPr>
      <w:r>
        <w:t>5.5 Correlation Analysis</w:t>
      </w:r>
    </w:p>
    <w:p>
      <w:pPr>
        <w:jc w:val="left"/>
      </w:pPr>
      <w:r>
        <w:rPr>
          <w:rFonts w:ascii="Times New Roman" w:hAnsi="Times New Roman"/>
          <w:color w:val="000000"/>
        </w:rPr>
        <w:t>Pearson complete-case correlations identified positive age-knowledge and knowledge-practice relationships.</w:t>
      </w:r>
    </w:p>
    <w:p>
      <w:pPr>
        <w:pStyle w:val="Heading4"/>
      </w:pPr>
      <w:r>
        <w:t>Table 5. Key Pearson Correlations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Variable pair</w:t>
            </w:r>
          </w:p>
        </w:tc>
        <w:tc>
          <w:tcPr>
            <w:tcW w:type="dxa" w:w="2340"/>
          </w:tcPr>
          <w:p>
            <w:pPr>
              <w:spacing w:after="60"/>
            </w:pPr>
            <w:r>
              <w:rPr>
                <w:rFonts w:ascii="Times New Roman" w:hAnsi="Times New Roman"/>
                <w:b/>
                <w:color w:val="000000"/>
                <w:sz w:val="20"/>
              </w:rPr>
              <w:t>r</w:t>
            </w:r>
          </w:p>
        </w:tc>
        <w:tc>
          <w:tcPr>
            <w:tcW w:type="dxa" w:w="2340"/>
          </w:tcPr>
          <w:p>
            <w:pPr>
              <w:spacing w:after="60"/>
            </w:pPr>
            <w:r>
              <w:rPr>
                <w:rFonts w:ascii="Times New Roman" w:hAnsi="Times New Roman"/>
                <w:b/>
                <w:color w:val="000000"/>
                <w:sz w:val="20"/>
              </w:rPr>
              <w:t>p-value</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Age vs Knowledge score</w:t>
            </w:r>
          </w:p>
        </w:tc>
        <w:tc>
          <w:tcPr>
            <w:tcW w:type="dxa" w:w="2340"/>
          </w:tcPr>
          <w:p>
            <w:pPr>
              <w:spacing w:after="60"/>
              <w:jc w:val="right"/>
            </w:pPr>
            <w:r>
              <w:rPr>
                <w:rFonts w:ascii="Times New Roman" w:hAnsi="Times New Roman"/>
                <w:color w:val="000000"/>
                <w:sz w:val="20"/>
              </w:rPr>
              <w:t>0.307</w:t>
            </w:r>
          </w:p>
        </w:tc>
        <w:tc>
          <w:tcPr>
            <w:tcW w:type="dxa" w:w="2340"/>
          </w:tcPr>
          <w:p>
            <w:pPr>
              <w:spacing w:after="60"/>
              <w:jc w:val="right"/>
            </w:pPr>
            <w:r>
              <w:rPr>
                <w:rFonts w:ascii="Times New Roman" w:hAnsi="Times New Roman"/>
                <w:color w:val="000000"/>
                <w:sz w:val="20"/>
              </w:rPr>
              <w:t>0.0007</w:t>
            </w:r>
          </w:p>
        </w:tc>
        <w:tc>
          <w:tcPr>
            <w:tcW w:type="dxa" w:w="2340"/>
          </w:tcPr>
          <w:p>
            <w:pPr>
              <w:spacing w:after="60"/>
            </w:pPr>
            <w:r>
              <w:rPr>
                <w:rFonts w:ascii="Times New Roman" w:hAnsi="Times New Roman"/>
                <w:color w:val="000000"/>
                <w:sz w:val="20"/>
              </w:rPr>
              <w:t>Moderate positive association</w:t>
            </w:r>
          </w:p>
        </w:tc>
      </w:tr>
      <w:tr>
        <w:tc>
          <w:tcPr>
            <w:tcW w:type="dxa" w:w="2340"/>
          </w:tcPr>
          <w:p>
            <w:pPr>
              <w:spacing w:after="60"/>
            </w:pPr>
            <w:r>
              <w:rPr>
                <w:rFonts w:ascii="Times New Roman" w:hAnsi="Times New Roman"/>
                <w:color w:val="000000"/>
                <w:sz w:val="20"/>
              </w:rPr>
              <w:t>Knowledge score vs Practice score</w:t>
            </w:r>
          </w:p>
        </w:tc>
        <w:tc>
          <w:tcPr>
            <w:tcW w:type="dxa" w:w="2340"/>
          </w:tcPr>
          <w:p>
            <w:pPr>
              <w:spacing w:after="60"/>
              <w:jc w:val="right"/>
            </w:pPr>
            <w:r>
              <w:rPr>
                <w:rFonts w:ascii="Times New Roman" w:hAnsi="Times New Roman"/>
                <w:color w:val="000000"/>
                <w:sz w:val="20"/>
              </w:rPr>
              <w:t>0.335</w:t>
            </w:r>
          </w:p>
        </w:tc>
        <w:tc>
          <w:tcPr>
            <w:tcW w:type="dxa" w:w="2340"/>
          </w:tcPr>
          <w:p>
            <w:pPr>
              <w:spacing w:after="60"/>
              <w:jc w:val="right"/>
            </w:pPr>
            <w:r>
              <w:rPr>
                <w:rFonts w:ascii="Times New Roman" w:hAnsi="Times New Roman"/>
                <w:color w:val="000000"/>
                <w:sz w:val="20"/>
              </w:rPr>
              <w:t>0.0002</w:t>
            </w:r>
          </w:p>
        </w:tc>
        <w:tc>
          <w:tcPr>
            <w:tcW w:type="dxa" w:w="2340"/>
          </w:tcPr>
          <w:p>
            <w:pPr>
              <w:spacing w:after="60"/>
            </w:pPr>
            <w:r>
              <w:rPr>
                <w:rFonts w:ascii="Times New Roman" w:hAnsi="Times New Roman"/>
                <w:color w:val="000000"/>
                <w:sz w:val="20"/>
              </w:rPr>
              <w:t>Weak-to-moderate positive association</w:t>
            </w:r>
          </w:p>
        </w:tc>
      </w:tr>
      <w:tr>
        <w:tc>
          <w:tcPr>
            <w:tcW w:type="dxa" w:w="2340"/>
          </w:tcPr>
          <w:p>
            <w:pPr>
              <w:spacing w:after="60"/>
            </w:pPr>
            <w:r>
              <w:rPr>
                <w:rFonts w:ascii="Times New Roman" w:hAnsi="Times New Roman"/>
                <w:color w:val="000000"/>
                <w:sz w:val="20"/>
              </w:rPr>
              <w:t>Income vs Knowledge score</w:t>
            </w:r>
          </w:p>
        </w:tc>
        <w:tc>
          <w:tcPr>
            <w:tcW w:type="dxa" w:w="2340"/>
          </w:tcPr>
          <w:p>
            <w:pPr>
              <w:spacing w:after="60"/>
              <w:jc w:val="right"/>
            </w:pPr>
            <w:r>
              <w:rPr>
                <w:rFonts w:ascii="Times New Roman" w:hAnsi="Times New Roman"/>
                <w:color w:val="000000"/>
                <w:sz w:val="20"/>
              </w:rPr>
              <w:t>-0.014</w:t>
            </w:r>
          </w:p>
        </w:tc>
        <w:tc>
          <w:tcPr>
            <w:tcW w:type="dxa" w:w="2340"/>
          </w:tcPr>
          <w:p>
            <w:pPr>
              <w:spacing w:after="60"/>
              <w:jc w:val="right"/>
            </w:pPr>
            <w:r>
              <w:rPr>
                <w:rFonts w:ascii="Times New Roman" w:hAnsi="Times New Roman"/>
                <w:color w:val="000000"/>
                <w:sz w:val="20"/>
              </w:rPr>
              <w:t>0.8830</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Practice score</w:t>
            </w:r>
          </w:p>
        </w:tc>
        <w:tc>
          <w:tcPr>
            <w:tcW w:type="dxa" w:w="2340"/>
          </w:tcPr>
          <w:p>
            <w:pPr>
              <w:spacing w:after="60"/>
              <w:jc w:val="right"/>
            </w:pPr>
            <w:r>
              <w:rPr>
                <w:rFonts w:ascii="Times New Roman" w:hAnsi="Times New Roman"/>
                <w:color w:val="000000"/>
                <w:sz w:val="20"/>
              </w:rPr>
              <w:t>-0.122</w:t>
            </w:r>
          </w:p>
        </w:tc>
        <w:tc>
          <w:tcPr>
            <w:tcW w:type="dxa" w:w="2340"/>
          </w:tcPr>
          <w:p>
            <w:pPr>
              <w:spacing w:after="60"/>
              <w:jc w:val="right"/>
            </w:pPr>
            <w:r>
              <w:rPr>
                <w:rFonts w:ascii="Times New Roman" w:hAnsi="Times New Roman"/>
                <w:color w:val="000000"/>
                <w:sz w:val="20"/>
              </w:rPr>
              <w:t>0.1834</w:t>
            </w:r>
          </w:p>
        </w:tc>
        <w:tc>
          <w:tcPr>
            <w:tcW w:type="dxa" w:w="2340"/>
          </w:tcPr>
          <w:p>
            <w:pPr>
              <w:spacing w:after="60"/>
            </w:pPr>
            <w:r>
              <w:rPr>
                <w:rFonts w:ascii="Times New Roman" w:hAnsi="Times New Roman"/>
                <w:color w:val="000000"/>
                <w:sz w:val="20"/>
              </w:rPr>
              <w:t>Not significant</w:t>
            </w:r>
          </w:p>
        </w:tc>
      </w:tr>
    </w:tbl>
    <w:p/>
    <w:p>
      <w:pPr>
        <w:jc w:val="left"/>
      </w:pPr>
      <w:r>
        <w:rPr>
          <w:rFonts w:ascii="Times New Roman" w:hAnsi="Times New Roman"/>
          <w:color w:val="000000"/>
        </w:rPr>
        <w:t>Note: Correlations with total score are mathematically inflated because total score is derived from knowledge + practice.</w:t>
      </w:r>
    </w:p>
    <w:p>
      <w:pPr>
        <w:pStyle w:val="Heading3"/>
      </w:pPr>
      <w:r>
        <w:t>5.6 Data Quality Findings</w:t>
      </w:r>
    </w:p>
    <w:p>
      <w:pPr>
        <w:pStyle w:val="ListBullet"/>
        <w:jc w:val="left"/>
      </w:pPr>
      <w:r>
        <w:rPr>
          <w:rFonts w:ascii="Times New Roman" w:hAnsi="Times New Roman"/>
          <w:color w:val="000000"/>
        </w:rPr>
        <w:t>Total rows: 120</w:t>
      </w:r>
    </w:p>
    <w:p>
      <w:pPr>
        <w:pStyle w:val="ListBullet"/>
        <w:jc w:val="left"/>
      </w:pPr>
      <w:r>
        <w:rPr>
          <w:rFonts w:ascii="Times New Roman" w:hAnsi="Times New Roman"/>
          <w:color w:val="000000"/>
        </w:rPr>
        <w:t>Total columns: 41</w:t>
      </w:r>
    </w:p>
    <w:p>
      <w:pPr>
        <w:pStyle w:val="ListBullet"/>
        <w:jc w:val="left"/>
      </w:pPr>
      <w:r>
        <w:rPr>
          <w:rFonts w:ascii="Times New Roman" w:hAnsi="Times New Roman"/>
          <w:color w:val="000000"/>
        </w:rPr>
        <w:t>Total cells: 4,920</w:t>
      </w:r>
    </w:p>
    <w:p>
      <w:pPr>
        <w:pStyle w:val="ListBullet"/>
        <w:jc w:val="left"/>
      </w:pPr>
      <w:r>
        <w:rPr>
          <w:rFonts w:ascii="Times New Roman" w:hAnsi="Times New Roman"/>
          <w:color w:val="000000"/>
        </w:rPr>
        <w:t>Missing values: 550</w:t>
      </w:r>
    </w:p>
    <w:p>
      <w:pPr>
        <w:pStyle w:val="ListBullet"/>
        <w:jc w:val="left"/>
      </w:pPr>
      <w:r>
        <w:rPr>
          <w:rFonts w:ascii="Times New Roman" w:hAnsi="Times New Roman"/>
          <w:color w:val="000000"/>
        </w:rPr>
        <w:t>Invalid values: 0</w:t>
      </w:r>
    </w:p>
    <w:p>
      <w:pPr>
        <w:pStyle w:val="ListBullet"/>
        <w:jc w:val="left"/>
      </w:pPr>
      <w:r>
        <w:rPr>
          <w:rFonts w:ascii="Times New Roman" w:hAnsi="Times New Roman"/>
          <w:color w:val="000000"/>
        </w:rPr>
        <w:t>Overall data quality: 88.82%</w:t>
      </w:r>
    </w:p>
    <w:p>
      <w:pPr>
        <w:pStyle w:val="ListBullet"/>
        <w:jc w:val="left"/>
      </w:pPr>
      <w:r>
        <w:rPr>
          <w:rFonts w:ascii="Times New Roman" w:hAnsi="Times New Roman"/>
          <w:color w:val="000000"/>
        </w:rPr>
        <w:t>Core data quality (excluding conditional/skip-logic columns): 99.85%</w:t>
      </w:r>
    </w:p>
    <w:p>
      <w:pPr>
        <w:pStyle w:val="ListBullet"/>
        <w:jc w:val="left"/>
      </w:pPr>
      <w:r>
        <w:rPr>
          <w:rFonts w:ascii="Times New Roman" w:hAnsi="Times New Roman"/>
          <w:color w:val="000000"/>
        </w:rPr>
        <w:t>Family-size consistency mismatches: 0</w:t>
      </w:r>
    </w:p>
    <w:p>
      <w:pPr>
        <w:jc w:val="left"/>
      </w:pPr>
      <w:r>
        <w:rPr>
          <w:rFonts w:ascii="Times New Roman" w:hAnsi="Times New Roman"/>
          <w:color w:val="000000"/>
        </w:rPr>
        <w:t>The majority of missingness was concentrated in expected conditional/skip-logic variables (for example, cloth-specific follow-up items and free-text "other" fields).</w:t>
      </w:r>
    </w:p>
    <w:p>
      <w:pPr>
        <w:pStyle w:val="Heading3"/>
      </w:pPr>
      <w:r>
        <w:t>5.7 Sensitivity Analyses</w:t>
      </w:r>
    </w:p>
    <w:p>
      <w:pPr>
        <w:pStyle w:val="Heading4"/>
      </w:pPr>
      <w:r>
        <w:t>Table 6. Sensitivity Checks for Robustness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Sensitivity analysis</w:t>
            </w:r>
          </w:p>
        </w:tc>
        <w:tc>
          <w:tcPr>
            <w:tcW w:type="dxa" w:w="2340"/>
          </w:tcPr>
          <w:p>
            <w:pPr>
              <w:spacing w:after="60"/>
            </w:pPr>
            <w:r>
              <w:rPr>
                <w:rFonts w:ascii="Times New Roman" w:hAnsi="Times New Roman"/>
                <w:b/>
                <w:color w:val="000000"/>
                <w:sz w:val="20"/>
              </w:rPr>
              <w:t>Knowledge result</w:t>
            </w:r>
          </w:p>
        </w:tc>
        <w:tc>
          <w:tcPr>
            <w:tcW w:type="dxa" w:w="2340"/>
          </w:tcPr>
          <w:p>
            <w:pPr>
              <w:spacing w:after="60"/>
            </w:pPr>
            <w:r>
              <w:rPr>
                <w:rFonts w:ascii="Times New Roman" w:hAnsi="Times New Roman"/>
                <w:b/>
                <w:color w:val="000000"/>
                <w:sz w:val="20"/>
              </w:rPr>
              <w:t>Practice result</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Excluding maternal education level 5 (n=1)</w:t>
            </w:r>
          </w:p>
        </w:tc>
        <w:tc>
          <w:tcPr>
            <w:tcW w:type="dxa" w:w="2340"/>
          </w:tcPr>
          <w:p>
            <w:pPr>
              <w:spacing w:after="60"/>
            </w:pPr>
            <w:r>
              <w:rPr>
                <w:rFonts w:ascii="Times New Roman" w:hAnsi="Times New Roman"/>
                <w:color w:val="000000"/>
                <w:sz w:val="20"/>
              </w:rPr>
              <w:t>H=4.3048, p=0.2304, epsilon-squared=0.0113</w:t>
            </w:r>
          </w:p>
        </w:tc>
        <w:tc>
          <w:tcPr>
            <w:tcW w:type="dxa" w:w="2340"/>
          </w:tcPr>
          <w:p>
            <w:pPr>
              <w:spacing w:after="60"/>
            </w:pPr>
            <w:r>
              <w:rPr>
                <w:rFonts w:ascii="Times New Roman" w:hAnsi="Times New Roman"/>
                <w:color w:val="000000"/>
                <w:sz w:val="20"/>
              </w:rPr>
              <w:t>H=9.7515, p=0.0208, epsilon-squared=0.0587</w:t>
            </w:r>
          </w:p>
        </w:tc>
        <w:tc>
          <w:tcPr>
            <w:tcW w:type="dxa" w:w="2340"/>
          </w:tcPr>
          <w:p>
            <w:pPr>
              <w:spacing w:after="60"/>
            </w:pPr>
            <w:r>
              <w:rPr>
                <w:rFonts w:ascii="Times New Roman" w:hAnsi="Times New Roman"/>
                <w:color w:val="000000"/>
                <w:sz w:val="20"/>
              </w:rPr>
              <w:t>Practice association remains significant; knowledge remains non-significant</w:t>
            </w:r>
          </w:p>
        </w:tc>
      </w:tr>
      <w:tr>
        <w:tc>
          <w:tcPr>
            <w:tcW w:type="dxa" w:w="2340"/>
          </w:tcPr>
          <w:p>
            <w:pPr>
              <w:spacing w:after="60"/>
            </w:pPr>
            <w:r>
              <w:rPr>
                <w:rFonts w:ascii="Times New Roman" w:hAnsi="Times New Roman"/>
                <w:color w:val="000000"/>
                <w:sz w:val="20"/>
              </w:rPr>
              <w:t>Spearman rank correlation (age-knowledge)</w:t>
            </w:r>
          </w:p>
        </w:tc>
        <w:tc>
          <w:tcPr>
            <w:tcW w:type="dxa" w:w="2340"/>
          </w:tcPr>
          <w:p>
            <w:pPr>
              <w:spacing w:after="60"/>
            </w:pPr>
            <w:r>
              <w:rPr>
                <w:rFonts w:ascii="Times New Roman" w:hAnsi="Times New Roman"/>
                <w:color w:val="000000"/>
                <w:sz w:val="20"/>
              </w:rPr>
              <w:t>rho=0.3585, p&lt;0.001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(knowledge-practice)</w:t>
            </w:r>
          </w:p>
        </w:tc>
        <w:tc>
          <w:tcPr>
            <w:tcW w:type="dxa" w:w="2340"/>
          </w:tcPr>
          <w:p>
            <w:pPr>
              <w:spacing w:after="60"/>
            </w:pPr>
            <w:r>
              <w:rPr>
                <w:rFonts w:ascii="Times New Roman" w:hAnsi="Times New Roman"/>
                <w:color w:val="000000"/>
                <w:sz w:val="20"/>
              </w:rPr>
              <w:t>rho=0.3738, p&lt;0.001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(income-knowledge / income-practice)</w:t>
            </w:r>
          </w:p>
        </w:tc>
        <w:tc>
          <w:tcPr>
            <w:tcW w:type="dxa" w:w="2340"/>
          </w:tcPr>
          <w:p>
            <w:pPr>
              <w:spacing w:after="60"/>
            </w:pPr>
            <w:r>
              <w:rPr>
                <w:rFonts w:ascii="Times New Roman" w:hAnsi="Times New Roman"/>
                <w:color w:val="000000"/>
                <w:sz w:val="20"/>
              </w:rPr>
              <w:t>rho=0.1574, p=0.0860</w:t>
            </w:r>
          </w:p>
        </w:tc>
        <w:tc>
          <w:tcPr>
            <w:tcW w:type="dxa" w:w="2340"/>
          </w:tcPr>
          <w:p>
            <w:pPr>
              <w:spacing w:after="60"/>
            </w:pPr>
            <w:r>
              <w:rPr>
                <w:rFonts w:ascii="Times New Roman" w:hAnsi="Times New Roman"/>
                <w:color w:val="000000"/>
                <w:sz w:val="20"/>
              </w:rPr>
              <w:t>rho=0.0544, p=0.5550</w:t>
            </w:r>
          </w:p>
        </w:tc>
        <w:tc>
          <w:tcPr>
            <w:tcW w:type="dxa" w:w="2340"/>
          </w:tcPr>
          <w:p>
            <w:pPr>
              <w:spacing w:after="60"/>
            </w:pPr>
            <w:r>
              <w:rPr>
                <w:rFonts w:ascii="Times New Roman" w:hAnsi="Times New Roman"/>
                <w:color w:val="000000"/>
                <w:sz w:val="20"/>
              </w:rPr>
              <w:t>Income association remains non-significant</w:t>
            </w:r>
          </w:p>
        </w:tc>
      </w:tr>
    </w:tbl>
    <w:p/>
    <w:p>
      <w:pPr>
        <w:jc w:val="left"/>
      </w:pPr>
      <w:r>
        <w:rPr>
          <w:rFonts w:ascii="Times New Roman" w:hAnsi="Times New Roman"/>
          <w:color w:val="000000"/>
        </w:rPr>
        <w:t>These checks support the stability of the primary conclusions under plausible analytic perturbations.</w:t>
      </w:r>
    </w:p>
    <w:p/>
    <w:p>
      <w:pPr>
        <w:pStyle w:val="Heading2"/>
      </w:pPr>
      <w:r>
        <w:t>6. Figures</w:t>
      </w:r>
    </w:p>
    <w:p>
      <w:pPr>
        <w:pStyle w:val="Heading3"/>
      </w:pPr>
      <w:r>
        <w:t>Figure 1. Mean knowledge and practice scores by maternal education level</w:t>
      </w:r>
    </w:p>
    <w:p>
      <w:pPr>
        <w:jc w:val="center"/>
      </w:pPr>
      <w:r>
        <w:drawing>
          <wp:inline xmlns:a="http://schemas.openxmlformats.org/drawingml/2006/main" xmlns:pic="http://schemas.openxmlformats.org/drawingml/2006/picture">
            <wp:extent cx="5669280" cy="3421284"/>
            <wp:docPr id="1" name="Picture 1"/>
            <wp:cNvGraphicFramePr>
              <a:graphicFrameLocks noChangeAspect="1"/>
            </wp:cNvGraphicFramePr>
            <a:graphic>
              <a:graphicData uri="http://schemas.openxmlformats.org/drawingml/2006/picture">
                <pic:pic>
                  <pic:nvPicPr>
                    <pic:cNvPr id="0" name="scores_by_maternal_education.png"/>
                    <pic:cNvPicPr/>
                  </pic:nvPicPr>
                  <pic:blipFill>
                    <a:blip r:embed="rId10"/>
                    <a:stretch>
                      <a:fillRect/>
                    </a:stretch>
                  </pic:blipFill>
                  <pic:spPr>
                    <a:xfrm>
                      <a:off x="0" y="0"/>
                      <a:ext cx="5669280" cy="3421284"/>
                    </a:xfrm>
                    <a:prstGeom prst="rect"/>
                  </pic:spPr>
                </pic:pic>
              </a:graphicData>
            </a:graphic>
          </wp:inline>
        </w:drawing>
      </w:r>
    </w:p>
    <w:p>
      <w:pPr>
        <w:jc w:val="center"/>
      </w:pPr>
      <w:r>
        <w:rPr>
          <w:rFonts w:ascii="Times New Roman" w:hAnsi="Times New Roman"/>
          <w:i/>
          <w:color w:val="000000"/>
          <w:sz w:val="22"/>
        </w:rPr>
        <w:t>Figure 1. Mean knowledge and practice scores by maternal education level.</w:t>
      </w:r>
    </w:p>
    <w:p/>
    <w:p>
      <w:pPr>
        <w:pStyle w:val="Heading3"/>
      </w:pPr>
      <w:r>
        <w:t>Figure 2. Distribution of knowledge and practice scores</w:t>
      </w:r>
    </w:p>
    <w:p>
      <w:pPr>
        <w:jc w:val="center"/>
      </w:pPr>
      <w:r>
        <w:drawing>
          <wp:inline xmlns:a="http://schemas.openxmlformats.org/drawingml/2006/main" xmlns:pic="http://schemas.openxmlformats.org/drawingml/2006/picture">
            <wp:extent cx="5669280" cy="2335063"/>
            <wp:docPr id="2" name="Picture 2"/>
            <wp:cNvGraphicFramePr>
              <a:graphicFrameLocks noChangeAspect="1"/>
            </wp:cNvGraphicFramePr>
            <a:graphic>
              <a:graphicData uri="http://schemas.openxmlformats.org/drawingml/2006/picture">
                <pic:pic>
                  <pic:nvPicPr>
                    <pic:cNvPr id="0" name="score_distributions.png"/>
                    <pic:cNvPicPr/>
                  </pic:nvPicPr>
                  <pic:blipFill>
                    <a:blip r:embed="rId11"/>
                    <a:stretch>
                      <a:fillRect/>
                    </a:stretch>
                  </pic:blipFill>
                  <pic:spPr>
                    <a:xfrm>
                      <a:off x="0" y="0"/>
                      <a:ext cx="5669280" cy="2335063"/>
                    </a:xfrm>
                    <a:prstGeom prst="rect"/>
                  </pic:spPr>
                </pic:pic>
              </a:graphicData>
            </a:graphic>
          </wp:inline>
        </w:drawing>
      </w:r>
    </w:p>
    <w:p>
      <w:pPr>
        <w:jc w:val="center"/>
      </w:pPr>
      <w:r>
        <w:rPr>
          <w:rFonts w:ascii="Times New Roman" w:hAnsi="Times New Roman"/>
          <w:i/>
          <w:color w:val="000000"/>
          <w:sz w:val="22"/>
        </w:rPr>
        <w:t>Figure 2. Knowledge and practice score distributions.</w:t>
      </w:r>
    </w:p>
    <w:p/>
    <w:p>
      <w:pPr>
        <w:pStyle w:val="Heading3"/>
      </w:pPr>
      <w:r>
        <w:t>Figure 3. Boxplots of knowledge and practice by maternal education level</w:t>
      </w:r>
    </w:p>
    <w:p>
      <w:pPr>
        <w:jc w:val="center"/>
      </w:pPr>
      <w:r>
        <w:drawing>
          <wp:inline xmlns:a="http://schemas.openxmlformats.org/drawingml/2006/main" xmlns:pic="http://schemas.openxmlformats.org/drawingml/2006/picture">
            <wp:extent cx="5669280" cy="2406385"/>
            <wp:docPr id="3" name="Picture 3"/>
            <wp:cNvGraphicFramePr>
              <a:graphicFrameLocks noChangeAspect="1"/>
            </wp:cNvGraphicFramePr>
            <a:graphic>
              <a:graphicData uri="http://schemas.openxmlformats.org/drawingml/2006/picture">
                <pic:pic>
                  <pic:nvPicPr>
                    <pic:cNvPr id="0" name="score_boxplots.png"/>
                    <pic:cNvPicPr/>
                  </pic:nvPicPr>
                  <pic:blipFill>
                    <a:blip r:embed="rId12"/>
                    <a:stretch>
                      <a:fillRect/>
                    </a:stretch>
                  </pic:blipFill>
                  <pic:spPr>
                    <a:xfrm>
                      <a:off x="0" y="0"/>
                      <a:ext cx="5669280" cy="2406385"/>
                    </a:xfrm>
                    <a:prstGeom prst="rect"/>
                  </pic:spPr>
                </pic:pic>
              </a:graphicData>
            </a:graphic>
          </wp:inline>
        </w:drawing>
      </w:r>
    </w:p>
    <w:p>
      <w:pPr>
        <w:jc w:val="center"/>
      </w:pPr>
      <w:r>
        <w:rPr>
          <w:rFonts w:ascii="Times New Roman" w:hAnsi="Times New Roman"/>
          <w:i/>
          <w:color w:val="000000"/>
          <w:sz w:val="22"/>
        </w:rPr>
        <w:t>Figure 3. Boxplot comparison by maternal education level.</w:t>
      </w:r>
    </w:p>
    <w:p/>
    <w:p>
      <w:pPr>
        <w:pStyle w:val="Heading3"/>
      </w:pPr>
      <w:r>
        <w:t>Figure 4. Scatter matrix of continuous variables</w:t>
      </w:r>
    </w:p>
    <w:p>
      <w:pPr>
        <w:jc w:val="center"/>
      </w:pPr>
      <w:r>
        <w:drawing>
          <wp:inline xmlns:a="http://schemas.openxmlformats.org/drawingml/2006/main" xmlns:pic="http://schemas.openxmlformats.org/drawingml/2006/picture">
            <wp:extent cx="5669280" cy="5713757"/>
            <wp:docPr id="4" name="Picture 4"/>
            <wp:cNvGraphicFramePr>
              <a:graphicFrameLocks noChangeAspect="1"/>
            </wp:cNvGraphicFramePr>
            <a:graphic>
              <a:graphicData uri="http://schemas.openxmlformats.org/drawingml/2006/picture">
                <pic:pic>
                  <pic:nvPicPr>
                    <pic:cNvPr id="0" name="scatter_matrix.png"/>
                    <pic:cNvPicPr/>
                  </pic:nvPicPr>
                  <pic:blipFill>
                    <a:blip r:embed="rId13"/>
                    <a:stretch>
                      <a:fillRect/>
                    </a:stretch>
                  </pic:blipFill>
                  <pic:spPr>
                    <a:xfrm>
                      <a:off x="0" y="0"/>
                      <a:ext cx="5669280" cy="5713757"/>
                    </a:xfrm>
                    <a:prstGeom prst="rect"/>
                  </pic:spPr>
                </pic:pic>
              </a:graphicData>
            </a:graphic>
          </wp:inline>
        </w:drawing>
      </w:r>
    </w:p>
    <w:p>
      <w:pPr>
        <w:jc w:val="center"/>
      </w:pPr>
      <w:r>
        <w:rPr>
          <w:rFonts w:ascii="Times New Roman" w:hAnsi="Times New Roman"/>
          <w:i/>
          <w:color w:val="000000"/>
          <w:sz w:val="22"/>
        </w:rPr>
        <w:t>Figure 4. Scatter matrix for age, income, family size, per-capita income, knowledge, practice, and total score.</w:t>
      </w:r>
    </w:p>
    <w:p/>
    <w:p/>
    <w:p>
      <w:pPr>
        <w:pStyle w:val="Heading2"/>
      </w:pPr>
      <w:r>
        <w:t>7. Discussion</w:t>
      </w:r>
    </w:p>
    <w:p>
      <w:pPr>
        <w:pStyle w:val="Heading3"/>
      </w:pPr>
      <w:r>
        <w:t>7.1 Principal Findings</w:t>
      </w:r>
    </w:p>
    <w:p>
      <w:pPr>
        <w:jc w:val="left"/>
      </w:pPr>
      <w:r>
        <w:rPr>
          <w:rFonts w:ascii="Times New Roman" w:hAnsi="Times New Roman"/>
          <w:color w:val="000000"/>
        </w:rPr>
        <w:t>Three findings are central:</w:t>
      </w:r>
    </w:p>
    <w:p>
      <w:pPr>
        <w:pStyle w:val="ListNumber"/>
        <w:jc w:val="left"/>
      </w:pPr>
      <w:r>
        <w:rPr>
          <w:rFonts w:ascii="Times New Roman" w:hAnsi="Times New Roman"/>
          <w:color w:val="000000"/>
        </w:rPr>
        <w:t xml:space="preserve">Menstrual hygiene </w:t>
      </w:r>
      <w:r>
        <w:rPr>
          <w:rFonts w:ascii="Times New Roman" w:hAnsi="Times New Roman"/>
          <w:b/>
          <w:color w:val="000000"/>
        </w:rPr>
        <w:t>practice</w:t>
      </w:r>
      <w:r>
        <w:rPr>
          <w:rFonts w:ascii="Times New Roman" w:hAnsi="Times New Roman"/>
          <w:color w:val="000000"/>
        </w:rPr>
        <w:t xml:space="preserve"> scores differed significantly by maternal education level.</w:t>
      </w:r>
    </w:p>
    <w:p>
      <w:pPr>
        <w:pStyle w:val="ListNumber"/>
        <w:jc w:val="left"/>
      </w:pPr>
      <w:r>
        <w:rPr>
          <w:rFonts w:ascii="Times New Roman" w:hAnsi="Times New Roman"/>
          <w:color w:val="000000"/>
        </w:rPr>
        <w:t xml:space="preserve">Menstrual hygiene </w:t>
      </w:r>
      <w:r>
        <w:rPr>
          <w:rFonts w:ascii="Times New Roman" w:hAnsi="Times New Roman"/>
          <w:b/>
          <w:color w:val="000000"/>
        </w:rPr>
        <w:t>knowledge</w:t>
      </w:r>
      <w:r>
        <w:rPr>
          <w:rFonts w:ascii="Times New Roman" w:hAnsi="Times New Roman"/>
          <w:color w:val="000000"/>
        </w:rPr>
        <w:t xml:space="preserve"> scores did not differ significantly by maternal education in this sample.</w:t>
      </w:r>
    </w:p>
    <w:p>
      <w:pPr>
        <w:pStyle w:val="ListNumber"/>
        <w:jc w:val="left"/>
      </w:pPr>
      <w:r>
        <w:rPr>
          <w:rFonts w:ascii="Times New Roman" w:hAnsi="Times New Roman"/>
          <w:color w:val="000000"/>
        </w:rPr>
        <w:t>Older adolescents tended to have higher knowledge scores, and higher knowledge was associated with better reported practice.</w:t>
      </w:r>
    </w:p>
    <w:p>
      <w:pPr>
        <w:pStyle w:val="Heading3"/>
      </w:pPr>
      <w:r>
        <w:t>7.2 Interpretation</w:t>
      </w:r>
    </w:p>
    <w:p>
      <w:pPr>
        <w:jc w:val="left"/>
      </w:pPr>
      <w:r>
        <w:rPr>
          <w:rFonts w:ascii="Times New Roman" w:hAnsi="Times New Roman"/>
          <w:color w:val="000000"/>
        </w:rPr>
        <w:t>The divergence between knowledge and practice findings is important. It suggests maternal education may influence actionable household hygiene behavior (for example, product handling/disposal routines and hygiene reinforcement) even when measured conceptual knowledge does not differ strongly across groups.</w:t>
      </w:r>
    </w:p>
    <w:p>
      <w:pPr>
        <w:jc w:val="left"/>
      </w:pPr>
      <w:r>
        <w:rPr>
          <w:rFonts w:ascii="Times New Roman" w:hAnsi="Times New Roman"/>
          <w:color w:val="000000"/>
        </w:rPr>
        <w:t>The age-knowledge and knowledge-practice associations support a plausible developmental pattern: as girls grow older, menstrual literacy improves, and better literacy aligns with better behavior. However, these are associative patterns and should not be interpreted causally without adjusted modeling.</w:t>
      </w:r>
    </w:p>
    <w:p>
      <w:pPr>
        <w:pStyle w:val="Heading3"/>
      </w:pPr>
      <w:r>
        <w:t>7.3 Context Within Prior Literature</w:t>
      </w:r>
    </w:p>
    <w:p>
      <w:pPr>
        <w:jc w:val="left"/>
      </w:pPr>
      <w:r>
        <w:rPr>
          <w:rFonts w:ascii="Times New Roman" w:hAnsi="Times New Roman"/>
          <w:color w:val="000000"/>
        </w:rPr>
        <w:t>The direction of findings is broadly compatible with regional literature that links parental education and socioeconomic context to menstrual hygiene management quality, while also showing persistent gaps between awareness and practical implementation. This pattern aligns with evidence from South Asian and other low-resource settings, where social norms and infrastructure constraints can blunt translation of knowledge into behavior.</w:t>
      </w:r>
    </w:p>
    <w:p>
      <w:pPr>
        <w:pStyle w:val="Heading3"/>
      </w:pPr>
      <w:r>
        <w:t>7.4 Strengths</w:t>
      </w:r>
    </w:p>
    <w:p>
      <w:pPr>
        <w:pStyle w:val="ListBullet"/>
        <w:jc w:val="left"/>
      </w:pPr>
      <w:r>
        <w:rPr>
          <w:rFonts w:ascii="Times New Roman" w:hAnsi="Times New Roman"/>
          <w:color w:val="000000"/>
        </w:rPr>
        <w:t>Predefined, reproducible analysis pipeline with timestamped outputs.</w:t>
      </w:r>
    </w:p>
    <w:p>
      <w:pPr>
        <w:pStyle w:val="ListBullet"/>
        <w:jc w:val="left"/>
      </w:pPr>
      <w:r>
        <w:rPr>
          <w:rFonts w:ascii="Times New Roman" w:hAnsi="Times New Roman"/>
          <w:color w:val="000000"/>
        </w:rPr>
        <w:t>Explicit assumption checks and non-parametric test selection when warranted.</w:t>
      </w:r>
    </w:p>
    <w:p>
      <w:pPr>
        <w:pStyle w:val="ListBullet"/>
        <w:jc w:val="left"/>
      </w:pPr>
      <w:r>
        <w:rPr>
          <w:rFonts w:ascii="Times New Roman" w:hAnsi="Times New Roman"/>
          <w:color w:val="000000"/>
        </w:rPr>
        <w:t>Effect-size reporting alongside p-values.</w:t>
      </w:r>
    </w:p>
    <w:p>
      <w:pPr>
        <w:pStyle w:val="ListBullet"/>
        <w:jc w:val="left"/>
      </w:pPr>
      <w:r>
        <w:rPr>
          <w:rFonts w:ascii="Times New Roman" w:hAnsi="Times New Roman"/>
          <w:color w:val="000000"/>
        </w:rPr>
        <w:t>Data quality framework that distinguishes core fields from conditional/skip-logic fields.</w:t>
      </w:r>
    </w:p>
    <w:p>
      <w:pPr>
        <w:pStyle w:val="ListBullet"/>
        <w:jc w:val="left"/>
      </w:pPr>
      <w:r>
        <w:rPr>
          <w:rFonts w:ascii="Times New Roman" w:hAnsi="Times New Roman"/>
          <w:color w:val="000000"/>
        </w:rPr>
        <w:t>Internal consistency check for family-size derivation.</w:t>
      </w:r>
    </w:p>
    <w:p>
      <w:pPr>
        <w:pStyle w:val="ListBullet"/>
        <w:jc w:val="left"/>
      </w:pPr>
      <w:r>
        <w:rPr>
          <w:rFonts w:ascii="Times New Roman" w:hAnsi="Times New Roman"/>
          <w:color w:val="000000"/>
        </w:rPr>
        <w:t>Added sensitivity analyses (group imbalance and rank-correlation robustness).</w:t>
      </w:r>
    </w:p>
    <w:p>
      <w:pPr>
        <w:pStyle w:val="Heading3"/>
      </w:pPr>
      <w:r>
        <w:t>7.5 Limitations</w:t>
      </w:r>
    </w:p>
    <w:p>
      <w:pPr>
        <w:pStyle w:val="ListBullet"/>
        <w:jc w:val="left"/>
      </w:pPr>
      <w:r>
        <w:rPr>
          <w:rFonts w:ascii="Times New Roman" w:hAnsi="Times New Roman"/>
          <w:color w:val="000000"/>
        </w:rPr>
        <w:t>Cross-sectional design prevents causal inference.</w:t>
      </w:r>
    </w:p>
    <w:p>
      <w:pPr>
        <w:pStyle w:val="ListBullet"/>
        <w:jc w:val="left"/>
      </w:pPr>
      <w:r>
        <w:rPr>
          <w:rFonts w:ascii="Times New Roman" w:hAnsi="Times New Roman"/>
          <w:color w:val="000000"/>
        </w:rPr>
        <w:t>Analyses are bivariate and unadjusted; confounding is possible.</w:t>
      </w:r>
    </w:p>
    <w:p>
      <w:pPr>
        <w:pStyle w:val="ListBullet"/>
        <w:jc w:val="left"/>
      </w:pPr>
      <w:r>
        <w:rPr>
          <w:rFonts w:ascii="Times New Roman" w:hAnsi="Times New Roman"/>
          <w:color w:val="000000"/>
        </w:rPr>
        <w:t>Maternal education groups are strongly imbalanced (especially level 5, n=1), limiting precision and post-hoc interpretability.</w:t>
      </w:r>
    </w:p>
    <w:p>
      <w:pPr>
        <w:pStyle w:val="ListBullet"/>
        <w:jc w:val="left"/>
      </w:pPr>
      <w:r>
        <w:rPr>
          <w:rFonts w:ascii="Times New Roman" w:hAnsi="Times New Roman"/>
          <w:color w:val="000000"/>
        </w:rPr>
        <w:t>Missing questionnaire responses were scored as 0, which may bias scores downward if non-response is not equivalent to incorrect knowledge/practice.</w:t>
      </w:r>
    </w:p>
    <w:p>
      <w:pPr>
        <w:pStyle w:val="ListBullet"/>
        <w:jc w:val="left"/>
      </w:pPr>
      <w:r>
        <w:rPr>
          <w:rFonts w:ascii="Times New Roman" w:hAnsi="Times New Roman"/>
          <w:color w:val="000000"/>
        </w:rPr>
        <w:t>Income distribution is highly skewed; Pearson correlations can be outlier-sensitive (addressed partially via Spearman sensitivity checks).</w:t>
      </w:r>
    </w:p>
    <w:p>
      <w:pPr>
        <w:pStyle w:val="ListBullet"/>
        <w:jc w:val="left"/>
      </w:pPr>
      <w:r>
        <w:rPr>
          <w:rFonts w:ascii="Times New Roman" w:hAnsi="Times New Roman"/>
          <w:color w:val="000000"/>
        </w:rPr>
        <w:t>Single-setting school sample may limit external generalizability.</w:t>
      </w:r>
    </w:p>
    <w:p>
      <w:pPr>
        <w:pStyle w:val="Heading3"/>
      </w:pPr>
      <w:r>
        <w:t>7.6 Programmatic and Research Implications</w:t>
      </w:r>
    </w:p>
    <w:p>
      <w:pPr>
        <w:pStyle w:val="ListBullet"/>
        <w:jc w:val="left"/>
      </w:pPr>
      <w:r>
        <w:rPr>
          <w:rFonts w:ascii="Times New Roman" w:hAnsi="Times New Roman"/>
          <w:color w:val="000000"/>
        </w:rPr>
        <w:t>School and community programs should prioritize behavior-focused menstrual hygiene support, not only awareness sessions.</w:t>
      </w:r>
    </w:p>
    <w:p>
      <w:pPr>
        <w:pStyle w:val="ListBullet"/>
        <w:jc w:val="left"/>
      </w:pPr>
      <w:r>
        <w:rPr>
          <w:rFonts w:ascii="Times New Roman" w:hAnsi="Times New Roman"/>
          <w:color w:val="000000"/>
        </w:rPr>
        <w:t>Maternal and caregiver engagement strategies may improve household-level practice reinforcement.</w:t>
      </w:r>
    </w:p>
    <w:p>
      <w:pPr>
        <w:pStyle w:val="ListBullet"/>
        <w:jc w:val="left"/>
      </w:pPr>
      <w:r>
        <w:rPr>
          <w:rFonts w:ascii="Times New Roman" w:hAnsi="Times New Roman"/>
          <w:color w:val="000000"/>
        </w:rPr>
        <w:t>Future studies should include multivariable models (for example, adjusted regression) and larger, better-balanced samples across education strata.</w:t>
      </w:r>
    </w:p>
    <w:p>
      <w:pPr>
        <w:pStyle w:val="ListBullet"/>
        <w:jc w:val="left"/>
      </w:pPr>
      <w:r>
        <w:rPr>
          <w:rFonts w:ascii="Times New Roman" w:hAnsi="Times New Roman"/>
          <w:color w:val="000000"/>
        </w:rPr>
        <w:t>Pre-specified handling of missing values should be reconsidered (for example, multiple imputation or missing-indicator sensitivity analyses) in confirmatory work.</w:t>
      </w:r>
    </w:p>
    <w:p/>
    <w:p>
      <w:pPr>
        <w:pStyle w:val="Heading2"/>
      </w:pPr>
      <w:r>
        <w:t>8. Conclusion</w:t>
      </w:r>
    </w:p>
    <w:p>
      <w:pPr>
        <w:jc w:val="left"/>
      </w:pPr>
      <w:r>
        <w:rPr>
          <w:rFonts w:ascii="Times New Roman" w:hAnsi="Times New Roman"/>
          <w:color w:val="000000"/>
        </w:rPr>
        <w:t>Among adolescent girls in this sub-urban Lahore sample, maternal education was significantly associated with menstrual hygiene practice scores but not with knowledge scores. Age and knowledge were positively associated, and knowledge correlated with practice, while income showed no significant relationship with either score in this dataset. Findings are robust across key sensitivity checks but remain associative due to study design and should inform targeted, context-aware menstrual hygiene interventions and future adjusted analyses.</w:t>
      </w:r>
    </w:p>
    <w:p/>
    <w:p>
      <w:pPr>
        <w:pStyle w:val="Heading2"/>
      </w:pPr>
      <w:r>
        <w:t>9. Reproducibility and Output Traceability</w:t>
      </w:r>
    </w:p>
    <w:p>
      <w:pPr>
        <w:jc w:val="left"/>
      </w:pPr>
      <w:r>
        <w:rPr>
          <w:rFonts w:ascii="Times New Roman" w:hAnsi="Times New Roman"/>
          <w:color w:val="000000"/>
        </w:rPr>
        <w:t>All results in this manuscript were drawn from the finalized output bundle:</w:t>
      </w:r>
    </w:p>
    <w:p>
      <w:pPr>
        <w:jc w:val="left"/>
      </w:pPr>
      <w:r>
        <w:rPr>
          <w:rFonts w:ascii="Consolas" w:hAnsi="Consolas"/>
          <w:color w:val="000000"/>
          <w:sz w:val="20"/>
        </w:rPr>
        <w:t>output/analysis_20260223_220644/</w:t>
      </w:r>
    </w:p>
    <w:p>
      <w:pPr>
        <w:jc w:val="left"/>
      </w:pPr>
      <w:r>
        <w:rPr>
          <w:rFonts w:ascii="Times New Roman" w:hAnsi="Times New Roman"/>
          <w:color w:val="000000"/>
        </w:rPr>
        <w:t>Key source files:</w:t>
      </w:r>
    </w:p>
    <w:p>
      <w:pPr>
        <w:pStyle w:val="ListBullet"/>
        <w:jc w:val="left"/>
      </w:pPr>
      <w:r>
        <w:rPr>
          <w:rFonts w:ascii="Consolas" w:hAnsi="Consolas"/>
          <w:color w:val="000000"/>
          <w:sz w:val="20"/>
        </w:rPr>
        <w:t>analysis_report.md</w:t>
      </w:r>
    </w:p>
    <w:p>
      <w:pPr>
        <w:pStyle w:val="ListBullet"/>
        <w:jc w:val="left"/>
      </w:pPr>
      <w:r>
        <w:rPr>
          <w:rFonts w:ascii="Consolas" w:hAnsi="Consolas"/>
          <w:color w:val="000000"/>
          <w:sz w:val="20"/>
        </w:rPr>
        <w:t>demographic_continuous_stats.csv</w:t>
      </w:r>
    </w:p>
    <w:p>
      <w:pPr>
        <w:pStyle w:val="ListBullet"/>
        <w:jc w:val="left"/>
      </w:pPr>
      <w:r>
        <w:rPr>
          <w:rFonts w:ascii="Consolas" w:hAnsi="Consolas"/>
          <w:color w:val="000000"/>
          <w:sz w:val="20"/>
        </w:rPr>
        <w:t>demographic_age_freq.csv</w:t>
      </w:r>
    </w:p>
    <w:p>
      <w:pPr>
        <w:pStyle w:val="ListBullet"/>
        <w:jc w:val="left"/>
      </w:pPr>
      <w:r>
        <w:rPr>
          <w:rFonts w:ascii="Consolas" w:hAnsi="Consolas"/>
          <w:color w:val="000000"/>
          <w:sz w:val="20"/>
        </w:rPr>
        <w:t>demographic_maternal_education_freq.csv</w:t>
      </w:r>
    </w:p>
    <w:p>
      <w:pPr>
        <w:pStyle w:val="ListBullet"/>
        <w:jc w:val="left"/>
      </w:pPr>
      <w:r>
        <w:rPr>
          <w:rFonts w:ascii="Consolas" w:hAnsi="Consolas"/>
          <w:color w:val="000000"/>
          <w:sz w:val="20"/>
        </w:rPr>
        <w:t>maternal_education_summary.csv</w:t>
      </w:r>
    </w:p>
    <w:p>
      <w:pPr>
        <w:pStyle w:val="ListBullet"/>
        <w:jc w:val="left"/>
      </w:pPr>
      <w:r>
        <w:rPr>
          <w:rFonts w:ascii="Consolas" w:hAnsi="Consolas"/>
          <w:color w:val="000000"/>
          <w:sz w:val="20"/>
        </w:rPr>
        <w:t>correlation_matrix.csv</w:t>
      </w:r>
    </w:p>
    <w:p>
      <w:pPr>
        <w:pStyle w:val="ListBullet"/>
        <w:jc w:val="left"/>
      </w:pPr>
      <w:r>
        <w:rPr>
          <w:rFonts w:ascii="Consolas" w:hAnsi="Consolas"/>
          <w:color w:val="000000"/>
          <w:sz w:val="20"/>
        </w:rPr>
        <w:t>correlation_pvalues.csv</w:t>
      </w:r>
    </w:p>
    <w:p>
      <w:pPr>
        <w:pStyle w:val="ListBullet"/>
        <w:jc w:val="left"/>
      </w:pPr>
      <w:r>
        <w:rPr>
          <w:rFonts w:ascii="Consolas" w:hAnsi="Consolas"/>
          <w:color w:val="000000"/>
          <w:sz w:val="20"/>
        </w:rPr>
        <w:t>data_quality_summary.txt</w:t>
      </w:r>
    </w:p>
    <w:p>
      <w:pPr>
        <w:pStyle w:val="ListBullet"/>
        <w:jc w:val="left"/>
      </w:pPr>
      <w:r>
        <w:rPr>
          <w:rFonts w:ascii="Consolas" w:hAnsi="Consolas"/>
          <w:color w:val="000000"/>
          <w:sz w:val="20"/>
        </w:rPr>
        <w:t>score_distributions.png</w:t>
      </w:r>
    </w:p>
    <w:p>
      <w:pPr>
        <w:pStyle w:val="ListBullet"/>
        <w:jc w:val="left"/>
      </w:pPr>
      <w:r>
        <w:rPr>
          <w:rFonts w:ascii="Consolas" w:hAnsi="Consolas"/>
          <w:color w:val="000000"/>
          <w:sz w:val="20"/>
        </w:rPr>
        <w:t>scores_by_maternal_education.png</w:t>
      </w:r>
    </w:p>
    <w:p>
      <w:pPr>
        <w:pStyle w:val="ListBullet"/>
        <w:jc w:val="left"/>
      </w:pPr>
      <w:r>
        <w:rPr>
          <w:rFonts w:ascii="Consolas" w:hAnsi="Consolas"/>
          <w:color w:val="000000"/>
          <w:sz w:val="20"/>
        </w:rPr>
        <w:t>score_boxplots.png</w:t>
      </w:r>
    </w:p>
    <w:p>
      <w:pPr>
        <w:pStyle w:val="ListBullet"/>
        <w:jc w:val="left"/>
      </w:pPr>
      <w:r>
        <w:rPr>
          <w:rFonts w:ascii="Consolas" w:hAnsi="Consolas"/>
          <w:color w:val="000000"/>
          <w:sz w:val="20"/>
        </w:rPr>
        <w:t>scatter_matrix.png</w:t>
      </w:r>
    </w:p>
    <w:p/>
    <w:p>
      <w:pPr>
        <w:pStyle w:val="Heading2"/>
      </w:pPr>
      <w:r>
        <w:t>10. Declarations</w:t>
      </w:r>
    </w:p>
    <w:p>
      <w:pPr>
        <w:pStyle w:val="Heading3"/>
      </w:pPr>
      <w:r>
        <w:t>Ethics Statement</w:t>
      </w:r>
    </w:p>
    <w:p>
      <w:pPr>
        <w:jc w:val="left"/>
      </w:pPr>
      <w:r>
        <w:rPr>
          <w:rFonts w:ascii="Times New Roman" w:hAnsi="Times New Roman"/>
          <w:color w:val="000000"/>
        </w:rPr>
        <w:t>The underlying protocol specifies parental consent, confidentiality, and institutional/school permissions. The current analysis uses de-identified survey data.</w:t>
      </w:r>
    </w:p>
    <w:p>
      <w:pPr>
        <w:pStyle w:val="Heading3"/>
      </w:pPr>
      <w:r>
        <w:t>Funding</w:t>
      </w:r>
    </w:p>
    <w:p>
      <w:pPr>
        <w:jc w:val="left"/>
      </w:pPr>
      <w:r>
        <w:rPr>
          <w:rFonts w:ascii="Times New Roman" w:hAnsi="Times New Roman"/>
          <w:color w:val="000000"/>
        </w:rPr>
        <w:t>No external funding information was provided in the analysis bundle.</w:t>
      </w:r>
    </w:p>
    <w:p>
      <w:pPr>
        <w:pStyle w:val="Heading3"/>
      </w:pPr>
      <w:r>
        <w:t>Competing Interests</w:t>
      </w:r>
    </w:p>
    <w:p>
      <w:pPr>
        <w:jc w:val="left"/>
      </w:pPr>
      <w:r>
        <w:rPr>
          <w:rFonts w:ascii="Times New Roman" w:hAnsi="Times New Roman"/>
          <w:color w:val="000000"/>
        </w:rPr>
        <w:t>No competing interests were declared in the analysis bundle.</w:t>
      </w:r>
    </w:p>
    <w:p>
      <w:pPr>
        <w:pStyle w:val="Heading3"/>
      </w:pPr>
      <w:r>
        <w:t>Author Contributions</w:t>
      </w:r>
    </w:p>
    <w:p>
      <w:pPr>
        <w:jc w:val="left"/>
      </w:pPr>
      <w:r>
        <w:rPr>
          <w:rFonts w:ascii="Times New Roman" w:hAnsi="Times New Roman"/>
          <w:color w:val="000000"/>
        </w:rPr>
        <w:t>Investigator and supervisor roles are as listed on the title page. Statistical processing and report generation were conducted through the documented analysis pipeline.</w:t>
      </w:r>
    </w:p>
    <w:p>
      <w:r>
        <w:br w:type="page"/>
      </w:r>
    </w:p>
    <w:p>
      <w:pPr>
        <w:pStyle w:val="Heading2"/>
      </w:pPr>
      <w:r>
        <w:t>11. References</w:t>
      </w:r>
    </w:p>
    <w:p>
      <w:pPr>
        <w:pStyle w:val="ListNumber"/>
        <w:jc w:val="left"/>
      </w:pPr>
      <w:r>
        <w:rPr>
          <w:rFonts w:ascii="Times New Roman" w:hAnsi="Times New Roman"/>
          <w:color w:val="000000"/>
        </w:rPr>
        <w:t>World Health Organization. Strengthening the health sector response to adolescent health and development. Geneva; 2011.</w:t>
      </w:r>
    </w:p>
    <w:p>
      <w:pPr>
        <w:pStyle w:val="ListNumber"/>
        <w:jc w:val="left"/>
      </w:pPr>
      <w:r>
        <w:rPr>
          <w:rFonts w:ascii="Times New Roman" w:hAnsi="Times New Roman"/>
          <w:color w:val="000000"/>
        </w:rPr>
        <w:t>World Health Organization. WHO statement on menstrual health and rights.</w:t>
      </w:r>
    </w:p>
    <w:p>
      <w:pPr>
        <w:pStyle w:val="ListNumber"/>
        <w:jc w:val="left"/>
      </w:pPr>
      <w:r>
        <w:rPr>
          <w:rFonts w:ascii="Times New Roman" w:hAnsi="Times New Roman"/>
          <w:color w:val="000000"/>
        </w:rPr>
        <w:t>UNESCO. Menstrual health and hygiene management: a module for gender empowerment.</w:t>
      </w:r>
    </w:p>
    <w:p>
      <w:pPr>
        <w:pStyle w:val="ListNumber"/>
        <w:jc w:val="left"/>
      </w:pPr>
      <w:r>
        <w:rPr>
          <w:rFonts w:ascii="Times New Roman" w:hAnsi="Times New Roman"/>
          <w:color w:val="000000"/>
        </w:rPr>
        <w:t>Kumbeni MT, Otupiri E, Ziba FA. Menstrual hygiene among adolescent girls in junior high schools in rural northern Ghana.</w:t>
      </w:r>
    </w:p>
    <w:p>
      <w:pPr>
        <w:pStyle w:val="ListNumber"/>
        <w:jc w:val="left"/>
      </w:pPr>
      <w:r>
        <w:rPr>
          <w:rFonts w:ascii="Times New Roman" w:hAnsi="Times New Roman"/>
          <w:color w:val="000000"/>
        </w:rPr>
        <w:t>Sahiledengle B, Atlaw D, Kumie A, Tekalegn Y, Woldeyohannes D, Agho KE. Menstrual hygiene practice among adolescent girls in Ethiopia: a systematic review and meta-analysis.</w:t>
      </w:r>
    </w:p>
    <w:p>
      <w:pPr>
        <w:pStyle w:val="ListNumber"/>
        <w:jc w:val="left"/>
      </w:pPr>
      <w:r>
        <w:rPr>
          <w:rFonts w:ascii="Times New Roman" w:hAnsi="Times New Roman"/>
          <w:color w:val="000000"/>
        </w:rPr>
        <w:t>Belayneh Z, Mekuriaw B. Knowledge and menstrual hygiene practice among adolescent schoolgirls in southern Ethiopia: a cross-sectional study.</w:t>
      </w:r>
    </w:p>
    <w:p>
      <w:pPr>
        <w:pStyle w:val="ListNumber"/>
        <w:jc w:val="left"/>
      </w:pPr>
      <w:r>
        <w:rPr>
          <w:rFonts w:ascii="Times New Roman" w:hAnsi="Times New Roman"/>
          <w:color w:val="000000"/>
        </w:rPr>
        <w:t>Bhusal CK. Practice of menstrual hygiene and associated factors among adolescent school girls in Dang District, Nepal.</w:t>
      </w:r>
    </w:p>
    <w:p>
      <w:pPr>
        <w:pStyle w:val="ListNumber"/>
        <w:jc w:val="left"/>
      </w:pPr>
      <w:r>
        <w:rPr>
          <w:rFonts w:ascii="Times New Roman" w:hAnsi="Times New Roman"/>
          <w:color w:val="000000"/>
        </w:rPr>
        <w:t>Bhusal CK, Bhattarai S, Kafle R, Shrestha R, Chhetri P, Adhikari K. Level and associated factors of knowledge regarding menstrual hygiene among school-going adolescent girls in Dang District, Nepal.</w:t>
      </w:r>
    </w:p>
    <w:p>
      <w:pPr>
        <w:pStyle w:val="ListNumber"/>
        <w:jc w:val="left"/>
      </w:pPr>
      <w:r>
        <w:rPr>
          <w:rFonts w:ascii="Times New Roman" w:hAnsi="Times New Roman"/>
          <w:color w:val="000000"/>
        </w:rPr>
        <w:t>Sonowal P, Talukdar K, Saikia H. Sociodemographic factors and their association with menstrual hygiene practices among adolescent girls in urban slums.</w:t>
      </w:r>
    </w:p>
    <w:p>
      <w:pPr>
        <w:pStyle w:val="ListNumber"/>
        <w:jc w:val="left"/>
      </w:pPr>
      <w:r>
        <w:rPr>
          <w:rFonts w:ascii="Times New Roman" w:hAnsi="Times New Roman"/>
          <w:color w:val="000000"/>
        </w:rPr>
        <w:t>Srivastava U, Singh KK. Exploring knowledge and perceptions of school adolescents regarding pubertal changes and reproductive health.</w:t>
      </w:r>
    </w:p>
    <w:p/>
    <w:p>
      <w:pPr>
        <w:pStyle w:val="Heading2"/>
      </w:pPr>
      <w:r>
        <w:t>12. Appendix: Supplemental Statistical Notes</w:t>
      </w:r>
    </w:p>
    <w:p>
      <w:pPr>
        <w:pStyle w:val="ListNumber"/>
        <w:jc w:val="left"/>
      </w:pPr>
      <w:r>
        <w:rPr>
          <w:rFonts w:ascii="Times New Roman" w:hAnsi="Times New Roman"/>
          <w:color w:val="000000"/>
        </w:rPr>
        <w:t>Primary inferential tests were non-parametric due bounded/discrete outcomes, non-normal group behavior, and group imbalance.</w:t>
      </w:r>
    </w:p>
    <w:p>
      <w:pPr>
        <w:pStyle w:val="ListNumber"/>
        <w:jc w:val="left"/>
      </w:pPr>
      <w:r>
        <w:rPr>
          <w:rFonts w:ascii="Times New Roman" w:hAnsi="Times New Roman"/>
          <w:color w:val="000000"/>
        </w:rPr>
        <w:t>Effect sizes are small (knowledge epsilon-squared=0.0162; practice epsilon-squared=0.0535), indicating modest practical magnitude despite statistical significance for practice.</w:t>
      </w:r>
    </w:p>
    <w:p>
      <w:pPr>
        <w:pStyle w:val="ListNumber"/>
        <w:jc w:val="left"/>
      </w:pPr>
      <w:r>
        <w:rPr>
          <w:rFonts w:ascii="Times New Roman" w:hAnsi="Times New Roman"/>
          <w:color w:val="000000"/>
        </w:rPr>
        <w:t>Post-hoc pairwise inference was not emphasized because of extreme imbalance and sparse highest-education stratum (n=1), which can destabilize pairwise conclusions.</w:t>
      </w:r>
    </w:p>
    <w:p>
      <w:pPr>
        <w:pStyle w:val="ListNumber"/>
        <w:jc w:val="left"/>
      </w:pPr>
      <w:r>
        <w:rPr>
          <w:rFonts w:ascii="Times New Roman" w:hAnsi="Times New Roman"/>
          <w:color w:val="000000"/>
        </w:rPr>
        <w:t>Income-related analyses should be interpreted with distribution-aware caution; robust/rank approaches are recommended in confirmatory follow-up studies.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