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an important adolescent health concern in low-resource settings. Stigma, limited menstrual health knowledge, and poor access to safe hygiene materials can affect health, dignity, and school participation [1-3]. Maternal education is often considered a determinant of adolescent health behavior, but evidence from sub-urban Pakistan is limited. This study assessed menstrual hygiene knowledge and practices among adolescent girls and examined differences across maternal education categories. The analysis used a finalized school-based survey dataset from a sub-urban area of Lahore, Pakistan. The SPSS source file contained 160 raw records. Forty fully blank trailing records were removed, leaving 120 participants for analysis. Knowledge scores could range from 0 to 9, and practice scores could range from 0 to 7. Scores were calculated from archived questionnaire rules, with one adjudicated correction. Missing questionnaire responses were scored as zero. The analysis included descriptive statistics, data quality checks, group comparisons, and correlations. Kruskal-Wallis tests were used for the primary group comparisons because the scores were bounded and discrete and the maternal education groups were imbalanced. Mean age was 14.47 years (range 12-18 years). Mean knowledge score was 6.65/9 (SD 1.22), and mean practice score was 5.68/7 (SD 0.58). The practice-score comparison was nominally significant only in the unadjusted analysis (Kruskal-Wallis H = 10.1562, unadjusted p = 0.0379, epsilon-squared = 0.0853; Holm-adjusted p = 0.0758). The omnibus knowledge comparison was not statistically significant (H = 8.0427, p = 0.0900, epsilon-squared = 0.0676). Age was positively correlated with knowledge (r = 0.314, p = 0.0005), and knowledge was positively correlated with practice (r = 0.317, p = 0.0004). The post-processing issue-free cell rate was 88.70% overall and 99.70% after conditional and skip-logic variables were excluded. The complete-case practice analysis was also not statistically significant (H = 8.6488, p = 0.0705). These findings do not establish an independent effect of maternal education. The practice result is exploratory because it was nominally significant only before multiplicity correction, was sensitive to missing-response handling, and may be confounded by age. Ethics approval and study-specific consent documentation could not be verified from the archived materials and must be resolved before submission.</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period in which many health-related attitudes and behaviors develop and may continue into adulthood. Menstrual health is an important part of adolescent well-being. Girls must manage menarche, menstrual cycles, personal hygiene, and social stigma, sometimes without adequate information or material support. Guidance from the World Health Organization and UNESCO treats menstrual health as an issue of health, education, rights, and gender equity. Effective menstrual health support requires suitable hygiene materials, accurate knowledge, supportive social norms, and safe sanitation [1-3].</w:t>
      </w:r>
    </w:p>
    <w:p>
      <w:pPr>
        <w:jc w:val="left"/>
      </w:pPr>
      <w:r>
        <w:rPr>
          <w:rFonts w:ascii="Times New Roman" w:hAnsi="Times New Roman"/>
          <w:color w:val="000000"/>
        </w:rPr>
        <w:t>In low- and middle-income settings, menstrual hygiene management may be limited by social silence, cultural taboos, lack of privacy, and inadequate access to absorbents and disposal facilities. Some girls reach menarche without prior preparation and depend on informal or incomplete information. These conditions may reduce hygienic practice, cause discomfort and embarrassment, and disrupt school attendance and social participation. Studies from Ghana, Ethiopia, Nepal, India, and related settings indicate that menstrual knowledge and practices are associated with parental education, access to information, and wider socioeconomic conditions [4-10].</w:t>
      </w:r>
    </w:p>
    <w:p>
      <w:pPr>
        <w:jc w:val="left"/>
      </w:pPr>
      <w:r>
        <w:rPr>
          <w:rFonts w:ascii="Times New Roman" w:hAnsi="Times New Roman"/>
          <w:color w:val="000000"/>
        </w:rPr>
        <w:t>Family circumstances and maternal education may be especially relevant in sub-urban communities in Pakistan, where education, household resources, and social norms vary. Maternal education may affect daughters' menstrual hygiene through communication, supervision, examples of hygienic routines, and access to menstrual products. However, higher maternal education may not produce large differences in formal knowledge when girls also learn from peers, media, or schools. This study assessed menstrual hygiene knowledge and practices among adolescent girls in a sub-urban area of Lahore, Pakistan, and examined differences across maternal education categories.</w:t>
      </w:r>
    </w:p>
    <w:p>
      <w:pPr>
        <w:pStyle w:val="Heading2"/>
      </w:pPr>
      <w:r>
        <w:t>2. Rationale and Objectives</w:t>
      </w:r>
    </w:p>
    <w:p>
      <w:pPr>
        <w:jc w:val="left"/>
      </w:pPr>
      <w:r>
        <w:rPr>
          <w:rFonts w:ascii="Times New Roman" w:hAnsi="Times New Roman"/>
          <w:color w:val="000000"/>
        </w:rPr>
        <w:t>This analysis considered whether maternal education was more closely related to girls' knowledge about menstruation or to their menstrual hygiene practices. The distinction matters because improved awareness may not change behavior when household conditions, product access, or sanitation remain limiting. The primary objectives were to assess menstrual hygiene knowledge and practice scores and determine whether these scores differed by maternal education level. Secondary objectives were to describe the participants' demographic characteristics and household economic indicators and to examine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presents a structured secondary analysis of the finalized survey dataset in the project workspace. The source protocol in </w:t>
      </w:r>
      <w:r>
        <w:rPr>
          <w:rFonts w:ascii="Consolas" w:hAnsi="Consolas"/>
          <w:color w:val="000000"/>
          <w:sz w:val="20"/>
        </w:rPr>
        <w:t>doc.md</w:t>
      </w:r>
      <w:r>
        <w:rPr>
          <w:rFonts w:ascii="Times New Roman" w:hAnsi="Times New Roman"/>
          <w:color w:val="000000"/>
        </w:rPr>
        <w:t xml:space="preserve"> described a school-based questionnaire study planned for the nine months from March to December 2024 at Reach School on Sau Asal Road, Lahore. The planned procedures included school-based recruitment, a structured questionnaire administered by the primary investigators, and an interview lasting about 15 to 20 minutes for each participant.</w:t>
      </w:r>
    </w:p>
    <w:p>
      <w:pPr>
        <w:pStyle w:val="Heading3"/>
      </w:pPr>
      <w:r>
        <w:t>3.2 Participant selection and analytic sample</w:t>
      </w:r>
    </w:p>
    <w:p>
      <w:pPr>
        <w:jc w:val="left"/>
      </w:pPr>
      <w:r>
        <w:rPr>
          <w:rFonts w:ascii="Times New Roman" w:hAnsi="Times New Roman"/>
          <w:color w:val="000000"/>
        </w:rPr>
        <w:t>According to the source protocol, adolescent girls were eligible if parental consent was provided. Students without parental consent and those who did not wish to participate were to be excluded. The protocol specified simple random sampling by lottery from a prepared list of eligible female students. The finalized analytic workflow loaded 160 raw records from the SPSS source file. Forty fully blank trailing records were removed, leaving 120 valid participant records.</w:t>
      </w:r>
    </w:p>
    <w:p>
      <w:pPr>
        <w:pStyle w:val="Heading3"/>
      </w:pPr>
      <w:r>
        <w:t>3.3 Study variables</w:t>
      </w:r>
    </w:p>
    <w:p>
      <w:pPr>
        <w:jc w:val="left"/>
      </w:pPr>
      <w:r>
        <w:rPr>
          <w:rFonts w:ascii="Times New Roman" w:hAnsi="Times New Roman"/>
          <w:color w:val="000000"/>
        </w:rPr>
        <w:t>The main outcomes were menstrual hygiene knowledge score and menstrual hygiene practice score. Knowledge was measured as a bounded discrete score from 0 to 9, and practice was measured as a bounded discrete score from 0 to 7. Maternal education was the primary explanatory variable. The SPSS metadata coded it as 1 = Illiterate, 2 = Primary, 3 = Middle, 4 = Secondary, and 5 = Intermediate and above. Other descriptive and exploratory variables were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The knowledge score was calculated from the Section III questionnaire items using the archived scoring protocol, with one adjudicated correction. The archived key assigned the menstruation-process point to code 2, although the SPSS metadata labeled code 1 as physiological/natural and code 2 as pathological/disease. Because menstruation is physiological rather than pathological, code 1 received the point in the corrected primary analysis. The original coding was retained for sensitivity analysis and audit purposes.</w:t>
      </w:r>
    </w:p>
    <w:p>
      <w:pPr>
        <w:jc w:val="left"/>
      </w:pPr>
      <w:r>
        <w:rPr>
          <w:rFonts w:ascii="Times New Roman" w:hAnsi="Times New Roman"/>
          <w:color w:val="000000"/>
        </w:rPr>
        <w:t>The practice score was calculated from the Section IV questionnaire items according to the archived scoring scheme. Missing or out-of-label questionnaire responses were assigned a score of zero under the implemented rules. Four archived score items gave one point for every listed response option: the absorbent and change-frequency items in both the knowledge and practice sections. These items contributed to the total scores but did not distinguish among participants. Per-capita income was calculated by dividing monthly household income by the total number of family members. It was set to null rather than imputed when income or family size was missing or when family size was zero.</w:t>
      </w:r>
    </w:p>
    <w:p>
      <w:pPr>
        <w:pStyle w:val="Heading3"/>
      </w:pPr>
      <w:r>
        <w:t>3.5 Data quality procedures</w:t>
      </w:r>
    </w:p>
    <w:p>
      <w:pPr>
        <w:jc w:val="left"/>
      </w:pPr>
      <w:r>
        <w:rPr>
          <w:rFonts w:ascii="Times New Roman" w:hAnsi="Times New Roman"/>
          <w:color w:val="000000"/>
        </w:rPr>
        <w:t>The analysis pipeline produced a separate data quality report covering missing values, categorical values outside the labeled domains, and the proportions of affected rows and columns. Categorical responses were compared with the value domains in the SPSS metadata. Several questionnaire items were conditional follow-up questions. The workflow therefore separated overall data quality from core data quality so that expected skip-pattern missingness would not be treated as poor data capture. A consistency check also compared reported total family size with the sum of male and female family members.</w:t>
      </w:r>
    </w:p>
    <w:p>
      <w:pPr>
        <w:pStyle w:val="Heading3"/>
      </w:pPr>
      <w:r>
        <w:t>3.6 Statistical analysis</w:t>
      </w:r>
    </w:p>
    <w:p>
      <w:pPr>
        <w:jc w:val="left"/>
      </w:pPr>
      <w:r>
        <w:rPr>
          <w:rFonts w:ascii="Times New Roman" w:hAnsi="Times New Roman"/>
          <w:color w:val="000000"/>
        </w:rPr>
        <w:t>All statistical tests used a two-sided significance threshold of 0.05. Categorical variables were summarized with counts and percentages. Continuous variables were summarized with the mean, median, standard deviation, minimum, maximum, and quartiles. Knowledge and practice scores were the two principal outcomes.</w:t>
      </w:r>
    </w:p>
    <w:p>
      <w:pPr>
        <w:jc w:val="left"/>
      </w:pPr>
      <w:r>
        <w:rPr>
          <w:rFonts w:ascii="Times New Roman" w:hAnsi="Times New Roman"/>
          <w:color w:val="000000"/>
        </w:rPr>
        <w:t>Before group comparisons were selected, Shapiro-Wilk tests were used to assess within-group normality when group size allowed. Levene's test was used to assess homogeneity of variance when feasible, and small group sizes were identified as a further limitation of parametric analysis. Because the scores were bounded and discrete and the maternal education groups were markedly imbalanced, the primary comparisons used Kruskal-Wallis tests. Epsilon-squared was reported as the effect size. The primary p-values are presented without adjustment, and Holm correction across the two outcomes was used to examine familywise robustness.</w:t>
      </w:r>
    </w:p>
    <w:p>
      <w:pPr>
        <w:jc w:val="left"/>
      </w:pPr>
      <w:r>
        <w:rPr>
          <w:rFonts w:ascii="Times New Roman" w:hAnsi="Times New Roman"/>
          <w:color w:val="000000"/>
        </w:rPr>
        <w:t>Pearson complete-case correlations were used to assess linear associations among age, income, family size, per-capita income, knowledge score, practice score, and total score. These secondary correlations were exploratory and were not corrected for multiple testing. Because income was strongly right-skewed and susceptible to outliers, Spearman rank correlations were calculated as sensitivity analyses. Other sensitivity analyses repeated the Kruskal-Wallis tests after excluding the highest maternal education category, treated maternal education as an ordinal rank, tested whether age differed among maternal education groups, and applied the archived scoring key.</w:t>
      </w:r>
    </w:p>
    <w:p>
      <w:pPr>
        <w:pStyle w:val="Heading3"/>
      </w:pPr>
      <w:r>
        <w:t>3.7 Ethical considerations</w:t>
      </w:r>
    </w:p>
    <w:p>
      <w:pPr>
        <w:jc w:val="left"/>
      </w:pPr>
      <w:r>
        <w:rPr>
          <w:rFonts w:ascii="Times New Roman" w:hAnsi="Times New Roman"/>
          <w:color w:val="000000"/>
        </w:rPr>
        <w:t>The source protocol planned parental consent, confidentiality, anonymity, school permission, and institutional review. The archived analysis materials do not confirm that these procedures were completed. They contain no reportable ethics approval identifier, and the appended consent text relates to bullying rather than menstrual hygiene. The correct study-specific consent form and ethics record must be confirmed before submission. No claim of ethics approval or consent is made because these could not be verified from the archived record.</w:t>
      </w:r>
    </w:p>
    <w:p>
      <w:pPr>
        <w:pStyle w:val="Heading2"/>
      </w:pPr>
      <w:r>
        <w:t>4. Results</w:t>
      </w:r>
    </w:p>
    <w:p>
      <w:pPr>
        <w:pStyle w:val="Heading3"/>
      </w:pPr>
      <w:r>
        <w:t>4.1 Participant flow</w:t>
      </w:r>
    </w:p>
    <w:p>
      <w:pPr>
        <w:jc w:val="left"/>
      </w:pPr>
      <w:r>
        <w:rPr>
          <w:rFonts w:ascii="Times New Roman" w:hAnsi="Times New Roman"/>
          <w:color w:val="000000"/>
        </w:rPr>
        <w:t>The finalized SPSS file contained 160 raw records. Forty fully blank trailing records were removed, leaving 120 participant records in the analytic sample. Table 1 shows the participant flow.</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Mean participant age was 14.47 years (SD 1.40), with a range of 12 to 18 years. Monthly household income varied widely. The mean was 48,833.33, and the maximum was 600,000, indicating substantial right-skewness. Mean family size was 6.66 members, and mean per-capita income was 8,648.83. Maternal education was concentrated in the lower categories: 71.7% of participants were in the illiterate category, and 14.2% were in the primary category. Only one participant was in the Intermediate and above category. Table 2 gives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The mean was 6.65, and the median was 7.00. Practice scores ranged from 4 to 7, with a mean of 5.68 and a median of 6.00. Practice scores were more closely clustered than knowledge scores. A knowledge score of 7 was the most common knowledge result (37.5%), and a practice score of 6 was the most common practice result (71.7%). Table 3 summarizes the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shows the overall score distributions.</w:t>
      </w:r>
    </w:p>
    <w:p>
      <w:pPr>
        <w:pStyle w:val="Heading3"/>
      </w:pPr>
      <w:r>
        <w:t>4.4 Scores by maternal education</w:t>
      </w:r>
    </w:p>
    <w:p>
      <w:pPr>
        <w:jc w:val="left"/>
      </w:pPr>
      <w:r>
        <w:rPr>
          <w:rFonts w:ascii="Times New Roman" w:hAnsi="Times New Roman"/>
          <w:color w:val="000000"/>
        </w:rPr>
        <w:t>Group summaries showed modest increases in mean scores across higher maternal education categories. Interpretation is limited by the pronounced imbalance among groups, particularly the single participant in the highest category. Mean knowledge scores ranged from 6.53 in the illiterate and primary categories to 8.00 in the Intermediate and above category. Mean practice scores ranged from 5.59 in the illiterate category to 6.12 in the secondary category. Table 4 presents the group summaries.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display these group patterns as bar plots with error bars and as box plots.</w:t>
      </w:r>
    </w:p>
    <w:p>
      <w:pPr>
        <w:pStyle w:val="Heading3"/>
      </w:pPr>
      <w:r>
        <w:t>4.5 Inferential analysis for maternal education</w:t>
      </w:r>
    </w:p>
    <w:p>
      <w:pPr>
        <w:jc w:val="left"/>
      </w:pPr>
      <w:r>
        <w:rPr>
          <w:rFonts w:ascii="Times New Roman" w:hAnsi="Times New Roman"/>
          <w:color w:val="000000"/>
        </w:rPr>
        <w:t>The assumption checks did not support parametric group comparisons. Kruskal-Wallis tests were therefore used for both outcomes. The omnibus knowledge-score comparison was not statistically significant (H = 8.0427, unadjusted p = 0.0900, epsilon-squared = 0.0676). The practice-score comparison was nominally significant only before correction for multiple testing (H = 10.1562, unadjusted p = 0.0379, epsilon-squared = 0.0853). Its Holm-adjusted p-value was 0.0758. Thus, the practice result is exploratory and is not robust to familywise error correction. The nominal result for practice and the non-significant result for knowledge do not establish that the two associations differ. Table 5 gives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Nominal p &lt; 0.05; Holm-adjusted p = 0.0758</w:t>
            </w:r>
          </w:p>
        </w:tc>
      </w:tr>
    </w:tbl>
    <w:p/>
    <w:p>
      <w:pPr>
        <w:pStyle w:val="Heading3"/>
      </w:pPr>
      <w:r>
        <w:t>4.6 Correlation analysis</w:t>
      </w:r>
    </w:p>
    <w:p>
      <w:pPr>
        <w:jc w:val="left"/>
      </w:pPr>
      <w:r>
        <w:rPr>
          <w:rFonts w:ascii="Times New Roman" w:hAnsi="Times New Roman"/>
          <w:color w:val="000000"/>
        </w:rPr>
        <w:t>In the Pearson complete-case analysis, age was positively correlated with knowledge (r = 0.314, p = 0.0005) and practice (r = 0.267, p = 0.0032). Knowledge and practice were also positively correlated (r = 0.317, p = 0.0004). Family size was negatively correlated with knowledge (r = -0.201, p = 0.0279). Neither household income nor per-capita income was significantly correlated with either score in the Pearson analysis. These findings are exploratory because multiple correlations were examined without adjustment. Correlations involving total score were not interpreted because total score is derived mathematically from the knowledge and practice scores. Table 6 presents the score-related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shows a scatter matrix of the continuous-variable relationships.</w:t>
      </w:r>
    </w:p>
    <w:p>
      <w:pPr>
        <w:pStyle w:val="Heading3"/>
      </w:pPr>
      <w:r>
        <w:t>4.7 Data quality and sensitivity analyses</w:t>
      </w:r>
    </w:p>
    <w:p>
      <w:pPr>
        <w:jc w:val="left"/>
      </w:pPr>
      <w:r>
        <w:rPr>
          <w:rFonts w:ascii="Times New Roman" w:hAnsi="Times New Roman"/>
          <w:color w:val="000000"/>
        </w:rPr>
        <w:t>After processing, 550 cells were missing and six categorical responses were outside the labeled domains among 4,920 cells in the transformed 41-column dataset. The overall issue-free cell rate was therefore 88.70%. This denominator includes optional free-text fields and five derived fields. The out-of-label values were three maternal occupation codes of 3, two menstruation-process codes of 5, and one handwashing code of 3. Core issue-free cell rate was 99.70% after conditional and skip-logic variables were excluded. The family-size check found no differences between reported total family size and the sum of male and female family members.</w:t>
      </w:r>
    </w:p>
    <w:p>
      <w:pPr>
        <w:jc w:val="left"/>
      </w:pPr>
      <w:r>
        <w:rPr>
          <w:rFonts w:ascii="Times New Roman" w:hAnsi="Times New Roman"/>
          <w:color w:val="000000"/>
        </w:rPr>
        <w:t>Excluding the one participant in the highest maternal education category did not materially change the findings. The knowledge comparison remained non-significant (H = 6.3719, p = 0.0949, epsilon-squared = 0.0540), and the unadjusted practice comparison remained below 0.05 (H = 9.7515, p = 0.0208, epsilon-squared = 0.0826). However, the analysis restricted to 115 participants with complete responses on all seven practice items was not statistically significant (H = 8.6488, p = 0.0705). The nominally significant unadjusted primary practice result was therefore sensitive to the archived missing-as-zero rule.</w:t>
      </w:r>
    </w:p>
    <w:p>
      <w:pPr>
        <w:jc w:val="left"/>
      </w:pPr>
      <w:r>
        <w:rPr>
          <w:rFonts w:ascii="Times New Roman" w:hAnsi="Times New Roman"/>
          <w:color w:val="000000"/>
        </w:rPr>
        <w:t>When maternal education was treated as ordinal, it had positive rank correlations with knowledge (rho = 0.2023, p = 0.0267) and practice (rho = 0.2684, p = 0.0030). These exploratory trend tests were not corrected for multiple testing. Age differed among maternal education groups (H = 10.6913, p = 0.0303), so age is a plausible confounder. Spearman analyses retained positive associations between age and knowledge (rho = 0.3710, p &lt; 0.001) and between knowledge and practice (rho = 0.3650, p &lt; 0.001). In contrast to the Pearson result, the Spearman analysis found a weak positive association between income and knowledge (rho = 0.2160, p = 0.0178), while income and practice remained non-significant. Use of the archived pathological-response key rather than the adjudicated physiological-response key gave a mean knowledge score of 5.82 and a non-significant omnibus comparison (H = 5.8669, p = 0.2093, epsilon-squared = 0.0493). Table 7 summarizes the sensitivity analyses.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primary analysis found a nominally significant unadjusted difference in practice scores among maternal education groups. The omnibus knowledge comparison was not statistically significant. The practice result did not remain significant after Holm correction for the two principal outcomes (Holm p = 0.0758), and the complete-case practice analysis was also not significant (p = 0.0705). No formal test compared the strength of the knowledge and practice associations. The practice finding must therefore be regarded as exploratory. Household routines, access to products, supervision, and age could contribute to the observed pattern, but this unadjusted analysis cannot separate their effects.</w:t>
      </w:r>
    </w:p>
    <w:p>
      <w:pPr>
        <w:jc w:val="left"/>
      </w:pPr>
      <w:r>
        <w:rPr>
          <w:rFonts w:ascii="Times New Roman" w:hAnsi="Times New Roman"/>
          <w:color w:val="000000"/>
        </w:rPr>
        <w:t>The positive association between age and knowledge is consistent with a developmental explanation. Older girls may have more experience of menstruation and more opportunities to receive information from family members or peers. They may also have had more time to develop their understanding of menstrual management. Knowledge and practice were positively correlated, but the association was not strong enough to assume that knowledge consistently leads to practice. Structural barriers, stigma, and limited access may affect whether knowledge can be applied.</w:t>
      </w:r>
    </w:p>
    <w:p>
      <w:pPr>
        <w:pStyle w:val="Heading3"/>
      </w:pPr>
      <w:r>
        <w:t>6.1 Comparative review methods</w:t>
      </w:r>
    </w:p>
    <w:p>
      <w:pPr>
        <w:jc w:val="left"/>
      </w:pPr>
      <w:r>
        <w:rPr>
          <w:rFonts w:ascii="Times New Roman" w:hAnsi="Times New Roman"/>
          <w:color w:val="000000"/>
        </w:rPr>
        <w:t>For comparison with published evidence, PubMed and OpenAlex were searched for primary studies addressing menstrual hygiene knowledge, practice, maternal or parental education, and enabling resources among adolescents. Studies from Pakistan were prioritized, followed by studies from other South Asian settings and one Ethiopian study that reported directly comparable adjusted models for maternal education. DOI identities were checked using Crossref and the DOI Handle service. Twelve primary studies were included: five from Pakistan, six from other South Asian settings, and one from Ethiopia. Full text was reviewed for 11 studies. For one Nepal study, only the publisher abstract was available because the article PDF could not be obtained. The studies differed in instruments, thresholds, populations, and definitions of good knowledge or practice. For this reason, no pooled estimate was calculated, and nominal percentages were not ranked directly.</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direction of the nominally significant unadjusted practice result agrees with Kansal et al. and Upashe et al., while Bhusal reported an inverse adjusted association [7,17,21]. Maternal education therefore does not have a consistent relationship with practice across settings. The absence of a statistically significant knowledge association in the present analysis also differs from the findings of Upashe et al. [21]. Direct numerical comparison is not appropriate because the studies differed in outcome definitions, age groups, maternal education categories, adjustment for confounding, and setting. The present study used continuous bounded scores and unadjusted group comparisons, whereas several comparison studies used study-specific binary thresholds and multivariable logistic regression.</w:t>
      </w:r>
    </w:p>
    <w:p>
      <w:pPr>
        <w:jc w:val="left"/>
      </w:pPr>
      <w:r>
        <w:rPr>
          <w:rFonts w:ascii="Times New Roman" w:hAnsi="Times New Roman"/>
          <w:color w:val="000000"/>
        </w:rPr>
        <w:t>Studies from Pakistan often identify mothers as an important source of menstrual information [12-14], but most do not estimate whether maternal education independently predicts knowledge or practice. This study provides a direct local comparison without assuming that frequent communication with mothers necessarily provides accurate information. The positive correlation between knowledge and practice agrees with the rural Lahore study [15]. Findings from Nepal and India also show that adequate knowledge can coexist with weaker practice [16,18].</w:t>
      </w:r>
    </w:p>
    <w:p>
      <w:pPr>
        <w:jc w:val="left"/>
      </w:pPr>
      <w:r>
        <w:rPr>
          <w:rFonts w:ascii="Times New Roman" w:hAnsi="Times New Roman"/>
          <w:color w:val="000000"/>
        </w:rPr>
        <w:t>The published evidence further supports treating knowledge and practice as separate outcomes. The cost and availability of products, household resources, privacy, sanitation, school facilities, and social restrictions may either support or prevent hygienic behavior [11,20]. Some routines may also be learned through social practice despite limited formal knowledge. Any association between maternal education and menstrual hygiene may therefore involve several mechanisms, including communication, purchasing power, supervision, and household norms, rather than education alone.</w:t>
      </w:r>
    </w:p>
    <w:p>
      <w:pPr>
        <w:jc w:val="left"/>
      </w:pPr>
      <w:r>
        <w:rPr>
          <w:rFonts w:ascii="Times New Roman" w:hAnsi="Times New Roman"/>
          <w:color w:val="000000"/>
        </w:rPr>
        <w:t>This study has several strengths. The reproducible analysis pipeline preserved timestamped outputs and included explicit data quality reporting, documented assumption checks, and effect sizes as well as p-values. The workflow also checked the internal consistency of family-size reports. Sensitivity analyses showed that the broad conclusions were unchanged after removal of the single participant in the highest education category and when rank-based correlations were used.</w:t>
      </w:r>
    </w:p>
    <w:p>
      <w:pPr>
        <w:jc w:val="left"/>
      </w:pPr>
      <w:r>
        <w:rPr>
          <w:rFonts w:ascii="Times New Roman" w:hAnsi="Times New Roman"/>
          <w:color w:val="000000"/>
        </w:rPr>
        <w:t>Several limitations require caution. First, the cross-sectional design supports associations but not causal conclusions. Second, the analyses were unadjusted and bivariate. Age differed among maternal education groups and may confound the observed associations. School conditions, product access, and other family factors were not controlled. Third, the practice comparison was only nominally significant in the unadjusted primary analysis and did not remain significant after Holm correction. Fourth, maternal education groups were severely imbalanced, especially the highest category. This limits precision, makes detailed comparisons unstable, and means that the omnibus result does not identify which groups differ. Fifth, assigning zero to missing or invalid questionnaire responses may have lowered scores when non-response did not indicate poor knowledge or practice. The non-significant complete-case result confirms that the nominal practice finding was sensitive to this rule. Sixth, four score items did not discriminate because every listed response option received one point. This limits construct validity and increases the apparent proportion of the maximum score. Seventh, one knowledge item required post hoc adjudication because the archived scoring key conflicted with the biological meaning of its labeled responses. Eighth, six responses fell outside the SPSS value-label domains. Ninth, the secondary correlations and ordinal trends were exploratory and were not corrected for multiple testing. Finally, participants came from one school, so the findings may not generalize to other adolescents in Lahore or elsewhere in Pakistan.</w:t>
      </w:r>
    </w:p>
    <w:p>
      <w:pPr>
        <w:jc w:val="left"/>
      </w:pPr>
      <w:r>
        <w:rPr>
          <w:rFonts w:ascii="Times New Roman" w:hAnsi="Times New Roman"/>
          <w:color w:val="000000"/>
        </w:rPr>
        <w:t>The results suggest that programs in similar settings should address practical behavior as well as factual menstrual health knowledge. Possible components include caregiver involvement and measures to improve access to products, privacy, and safe disposal. Larger and more balanced samples, adjusted multivariable models, and prospective or mixed-methods designs are needed to clarify how maternal education relates to menstrual hygiene behavior in everyday settings.</w:t>
      </w:r>
    </w:p>
    <w:p>
      <w:pPr>
        <w:pStyle w:val="Heading2"/>
      </w:pPr>
      <w:r>
        <w:t>7. Conclusion</w:t>
      </w:r>
    </w:p>
    <w:p>
      <w:pPr>
        <w:jc w:val="left"/>
      </w:pPr>
      <w:r>
        <w:rPr>
          <w:rFonts w:ascii="Times New Roman" w:hAnsi="Times New Roman"/>
          <w:color w:val="000000"/>
        </w:rPr>
        <w:t>In this sample from sub-urban Lahore, practice scores differed across maternal education groups only at the unadjusted 0.05 level. The practice comparison was nominally significant unadjusted, but it was not significant after Holm correction (p = 0.0758) or in the complete-case sensitivity analysis (p = 0.0705). The omnibus knowledge comparison was not statistically significant. Age may confound the group differences. In exploratory analyses, older age was associated with higher knowledge and practice scores, and knowledge was positively associated with practice. These cross-sectional results are hypothesis-generating and do not provide causal evidence. Firm conclusions about the independent role of maternal education require larger studies with validated scoring, balanced education groups, documented ethics procedures, and adjusted analyses.</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materials contain neither a reportable ethics approval identifier nor a valid consent form specific to menstrual hygiene; the appended consent text concerns bullying. Ethics approval and consent cannot be confirmed from the available record and must be resolved before submission.</w:t>
      </w:r>
    </w:p>
    <w:p>
      <w:pPr>
        <w:pStyle w:val="Heading3"/>
      </w:pPr>
      <w:r>
        <w:t>Funding</w:t>
      </w:r>
    </w:p>
    <w:p>
      <w:pPr>
        <w:jc w:val="left"/>
      </w:pPr>
      <w:r>
        <w:rPr>
          <w:rFonts w:ascii="Times New Roman" w:hAnsi="Times New Roman"/>
          <w:color w:val="000000"/>
        </w:rPr>
        <w:t>The analysis bundle provided no information about external funding.</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This manuscript was prepared from the corrected analysis outputs stored in </w:t>
      </w:r>
      <w:r>
        <w:rPr>
          <w:rFonts w:ascii="Consolas" w:hAnsi="Consolas"/>
          <w:color w:val="000000"/>
          <w:sz w:val="20"/>
        </w:rPr>
        <w:t>output/analysis_20260712_224950/</w:t>
      </w:r>
      <w:r>
        <w:rPr>
          <w:rFonts w:ascii="Times New Roman" w:hAnsi="Times New Roman"/>
          <w:color w:val="000000"/>
        </w:rPr>
        <w:t>. The archived materials did not include public repository information. This information should be added if the target journal requires it.</w:t>
      </w:r>
    </w:p>
    <w:p>
      <w:pPr>
        <w:pStyle w:val="Heading3"/>
      </w:pPr>
      <w:r>
        <w:t>Author contributions</w:t>
      </w:r>
    </w:p>
    <w:p>
      <w:pPr>
        <w:jc w:val="left"/>
      </w:pPr>
      <w:r>
        <w:rPr>
          <w:rFonts w:ascii="Times New Roman" w:hAnsi="Times New Roman"/>
          <w:color w:val="000000"/>
        </w:rPr>
        <w:t>The title page reports the supervisor and investigator roles. Statistical processing and manuscript assembly used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Non-parametric methods were used for the primary inferential analyses because the scores were bounded and discrete, the maternal education groups were highly imbalanced, and within-group normality assumptions were not adequately met. Epsilon-squared was 0.0676 for knowledge and 0.0853 for practice. The practice result was nominally significant only in the unadjusted analysis. It was not significant after Holm correction (p = 0.0758) or in the complete-case sensitivity analysis (p = 0.0705). Post-hoc pairwise comparisons were not emphasized because the upper education categories were sparse, including only one participant in the highest category. Pairwise results would therefore have been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