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Maternal Education and Menstrual Hygiene Among Adolescent Girls in Lahore: A Cross-Sectional Study</w:t>
      </w:r>
    </w:p>
    <w:p>
      <w:pPr>
        <w:jc w:val="left"/>
      </w:pPr>
      <w:r>
        <w:rPr>
          <w:rFonts w:ascii="Times New Roman" w:hAnsi="Times New Roman"/>
          <w:b/>
          <w:color w:val="000000"/>
        </w:rPr>
        <w:t>Authors:</w:t>
      </w:r>
      <w:r>
        <w:rPr>
          <w:rFonts w:ascii="Times New Roman" w:hAnsi="Times New Roman"/>
          <w:color w:val="000000"/>
        </w:rPr>
        <w:t xml:space="preserve"> Fatima Sohail; Ayesha Javed; Muhammad Hamza Adnan</w:t>
      </w:r>
    </w:p>
    <w:p>
      <w:pPr>
        <w:jc w:val="left"/>
      </w:pPr>
      <w:r>
        <w:rPr>
          <w:rFonts w:ascii="Times New Roman" w:hAnsi="Times New Roman"/>
          <w:b/>
          <w:color w:val="000000"/>
        </w:rPr>
        <w:t>Affiliations:</w:t>
      </w:r>
      <w:r>
        <w:rPr>
          <w:rFonts w:ascii="Times New Roman" w:hAnsi="Times New Roman"/>
          <w:color w:val="000000"/>
        </w:rPr>
        <w:t xml:space="preserve"> To be confirmed by the authors before submission.</w:t>
      </w:r>
    </w:p>
    <w:p>
      <w:pPr>
        <w:jc w:val="left"/>
      </w:pPr>
      <w:r>
        <w:rPr>
          <w:rFonts w:ascii="Times New Roman" w:hAnsi="Times New Roman"/>
          <w:b/>
          <w:color w:val="000000"/>
        </w:rPr>
        <w:t>Corresponding author:</w:t>
      </w:r>
      <w:r>
        <w:rPr>
          <w:rFonts w:ascii="Times New Roman" w:hAnsi="Times New Roman"/>
          <w:color w:val="000000"/>
        </w:rPr>
        <w:t xml:space="preserve"> To be confirmed by the authors before submission.</w:t>
      </w:r>
    </w:p>
    <w:p>
      <w:pPr>
        <w:jc w:val="left"/>
      </w:pPr>
      <w:r>
        <w:rPr>
          <w:rFonts w:ascii="Times New Roman" w:hAnsi="Times New Roman"/>
          <w:b/>
          <w:color w:val="000000"/>
        </w:rPr>
        <w:t>Arabic author-name forms:</w:t>
      </w:r>
      <w:r>
        <w:rPr>
          <w:rFonts w:ascii="Times New Roman" w:hAnsi="Times New Roman"/>
          <w:color w:val="000000"/>
        </w:rPr>
        <w:t xml:space="preserve"> To be supplied by the authors in the submission system for abstract translation.</w:t>
      </w:r>
    </w:p>
    <w:p>
      <w:pPr>
        <w:pStyle w:val="Heading2"/>
      </w:pPr>
      <w:r>
        <w:t>Abstract</w:t>
      </w:r>
    </w:p>
    <w:p>
      <w:pPr>
        <w:jc w:val="left"/>
      </w:pPr>
      <w:r>
        <w:rPr>
          <w:rFonts w:ascii="Times New Roman" w:hAnsi="Times New Roman"/>
          <w:b/>
          <w:color w:val="000000"/>
        </w:rPr>
        <w:t>Background:</w:t>
      </w:r>
      <w:r>
        <w:rPr>
          <w:rFonts w:ascii="Times New Roman" w:hAnsi="Times New Roman"/>
          <w:color w:val="000000"/>
        </w:rPr>
        <w:t xml:space="preserve"> Evidence on the relationship between maternal education and menstrual hygiene among adolescent girls in sub-urban Pakistan is limited.</w:t>
      </w:r>
    </w:p>
    <w:p>
      <w:pPr>
        <w:jc w:val="left"/>
      </w:pPr>
      <w:r>
        <w:rPr>
          <w:rFonts w:ascii="Times New Roman" w:hAnsi="Times New Roman"/>
          <w:b/>
          <w:color w:val="000000"/>
        </w:rPr>
        <w:t>Aim:</w:t>
      </w:r>
      <w:r>
        <w:rPr>
          <w:rFonts w:ascii="Times New Roman" w:hAnsi="Times New Roman"/>
          <w:color w:val="000000"/>
        </w:rPr>
        <w:t xml:space="preserve"> To assess menstrual hygiene knowledge and practice and compare scores across maternal education groups among schoolgirls in Lahore, Pakistan.</w:t>
      </w:r>
    </w:p>
    <w:p>
      <w:pPr>
        <w:jc w:val="left"/>
      </w:pPr>
      <w:r>
        <w:rPr>
          <w:rFonts w:ascii="Times New Roman" w:hAnsi="Times New Roman"/>
          <w:b/>
          <w:color w:val="000000"/>
        </w:rPr>
        <w:t>Methods:</w:t>
      </w:r>
      <w:r>
        <w:rPr>
          <w:rFonts w:ascii="Times New Roman" w:hAnsi="Times New Roman"/>
          <w:color w:val="000000"/>
        </w:rPr>
        <w:t xml:space="preserve"> This school-based cross-sectional study analysed questionnaire data from 120 adolescent girls. Knowledge and practice scores ranged from 0 to 9 and 0 to 7, respectively. Maternal education groups were compared using Kruskal-Wallis tests. Effect sizes, correlations and sensitivity analyses were also examined.</w:t>
      </w:r>
    </w:p>
    <w:p>
      <w:pPr>
        <w:jc w:val="left"/>
      </w:pPr>
      <w:r>
        <w:rPr>
          <w:rFonts w:ascii="Times New Roman" w:hAnsi="Times New Roman"/>
          <w:b/>
          <w:color w:val="000000"/>
        </w:rPr>
        <w:t>Results:</w:t>
      </w:r>
      <w:r>
        <w:rPr>
          <w:rFonts w:ascii="Times New Roman" w:hAnsi="Times New Roman"/>
          <w:color w:val="000000"/>
        </w:rPr>
        <w:t xml:space="preserve"> Mean age was 14.47 years (standard deviation 1.40), mean knowledge score was 6.65 (1.22), and mean practice score was 5.68 (0.58). Practice differed across maternal education groups in the primary unadjusted analysis (H = 10.1562, P = 0.0379; epsilon-squared = 0.0853), whereas knowledge did not (H = 8.0427, P = 0.0900; epsilon-squared = 0.0676). The exploratory Holm-adjusted practice P-value was 0.0758. Complete-response practice analysis gave H = 8.6488 and P = 0.0705.</w:t>
      </w:r>
    </w:p>
    <w:p>
      <w:pPr>
        <w:jc w:val="left"/>
      </w:pPr>
      <w:r>
        <w:rPr>
          <w:rFonts w:ascii="Times New Roman" w:hAnsi="Times New Roman"/>
          <w:b/>
          <w:color w:val="000000"/>
        </w:rPr>
        <w:t>Conclusion:</w:t>
      </w:r>
      <w:r>
        <w:rPr>
          <w:rFonts w:ascii="Times New Roman" w:hAnsi="Times New Roman"/>
          <w:color w:val="000000"/>
        </w:rPr>
        <w:t xml:space="preserve"> Maternal education was associated with reported menstrual hygiene practice in the primary unadjusted analysis, but the result was sensitive to missing-response handling and potential age confounding. Larger adjusted studies using validated measures are needed.</w:t>
      </w:r>
    </w:p>
    <w:p>
      <w:pPr>
        <w:jc w:val="left"/>
      </w:pPr>
      <w:r>
        <w:rPr>
          <w:rFonts w:ascii="Times New Roman" w:hAnsi="Times New Roman"/>
          <w:b/>
          <w:color w:val="000000"/>
        </w:rPr>
        <w:t>Keywords:</w:t>
      </w:r>
      <w:r>
        <w:rPr>
          <w:rFonts w:ascii="Times New Roman" w:hAnsi="Times New Roman"/>
          <w:color w:val="000000"/>
        </w:rPr>
        <w:t xml:space="preserve"> adolescent health; maternal education; menstrual hygiene; Pakistan; school health</w:t>
      </w:r>
    </w:p>
    <w:p>
      <w:pPr>
        <w:pStyle w:val="Heading2"/>
      </w:pPr>
      <w:r>
        <w:t>Background</w:t>
      </w:r>
    </w:p>
    <w:p>
      <w:pPr>
        <w:jc w:val="left"/>
      </w:pPr>
      <w:r>
        <w:rPr>
          <w:rFonts w:ascii="Times New Roman" w:hAnsi="Times New Roman"/>
          <w:color w:val="000000"/>
        </w:rPr>
        <w:t xml:space="preserve">Menstrual health is integral to adolescent health, education and gender equality. Girls require accurate information, suitable menstrual materials, privacy, water and sanitation, safe disposal options, and supportive social norms. World Health Organization and UNESCO guidance identifies menstrual health as both a health issue and a rights-based public health priority </w:t>
      </w:r>
      <w:r>
        <w:rPr>
          <w:rFonts w:ascii="Times New Roman" w:hAnsi="Times New Roman"/>
          <w:i/>
          <w:color w:val="000000"/>
        </w:rPr>
        <w:t>(1–3)</w:t>
      </w:r>
      <w:r>
        <w:rPr>
          <w:rFonts w:ascii="Times New Roman" w:hAnsi="Times New Roman"/>
          <w:color w:val="000000"/>
        </w:rPr>
        <w:t>.</w:t>
      </w:r>
    </w:p>
    <w:p>
      <w:pPr>
        <w:jc w:val="left"/>
      </w:pPr>
      <w:r>
        <w:rPr>
          <w:rFonts w:ascii="Times New Roman" w:hAnsi="Times New Roman"/>
          <w:color w:val="000000"/>
        </w:rPr>
        <w:t xml:space="preserve">In low- and middle-income settings, menstrual hygiene may be constrained by stigma, limited communication, unaffordable or unavailable products, and inadequate school facilities. Girls may consequently reach menarche without preparation or depend on incomplete information. Studies in African and South Asian settings have associated menstrual knowledge and practice with parental education, access to information and household conditions </w:t>
      </w:r>
      <w:r>
        <w:rPr>
          <w:rFonts w:ascii="Times New Roman" w:hAnsi="Times New Roman"/>
          <w:i/>
          <w:color w:val="000000"/>
        </w:rPr>
        <w:t>(4–10)</w:t>
      </w:r>
      <w:r>
        <w:rPr>
          <w:rFonts w:ascii="Times New Roman" w:hAnsi="Times New Roman"/>
          <w:color w:val="000000"/>
        </w:rPr>
        <w:t>.</w:t>
      </w:r>
    </w:p>
    <w:p>
      <w:pPr>
        <w:jc w:val="left"/>
      </w:pPr>
      <w:r>
        <w:rPr>
          <w:rFonts w:ascii="Times New Roman" w:hAnsi="Times New Roman"/>
          <w:color w:val="000000"/>
        </w:rPr>
        <w:t>Maternal education may affect daughters' menstrual hygiene through communication, supervision, household resources and health-related decision-making. However, school, peer and media exposure may reduce educational differences in factual knowledge, while practical constraints may continue to affect behaviour. Evidence from sub-urban Pakistan remains limited.</w:t>
      </w:r>
    </w:p>
    <w:p>
      <w:pPr>
        <w:pStyle w:val="Heading2"/>
      </w:pPr>
      <w:r>
        <w:t>Objectives</w:t>
      </w:r>
    </w:p>
    <w:p>
      <w:pPr>
        <w:jc w:val="left"/>
      </w:pPr>
      <w:r>
        <w:rPr>
          <w:rFonts w:ascii="Times New Roman" w:hAnsi="Times New Roman"/>
          <w:color w:val="000000"/>
        </w:rPr>
        <w:t>The primary objectives were to assess menstrual hygiene knowledge and practice scores among adolescent schoolgirls and compare these outcomes across maternal education categories. Secondary objectives were to describe demographic and household characteristics and explore relationships among age, household resources, knowledge and practice.</w:t>
      </w:r>
    </w:p>
    <w:p>
      <w:pPr>
        <w:pStyle w:val="Heading2"/>
      </w:pPr>
      <w:r>
        <w:t>Methods</w:t>
      </w:r>
    </w:p>
    <w:p>
      <w:pPr>
        <w:pStyle w:val="Heading3"/>
      </w:pPr>
      <w:r>
        <w:t>Study design and setting</w:t>
      </w:r>
    </w:p>
    <w:p>
      <w:pPr>
        <w:jc w:val="left"/>
      </w:pPr>
      <w:r>
        <w:rPr>
          <w:rFonts w:ascii="Times New Roman" w:hAnsi="Times New Roman"/>
          <w:color w:val="000000"/>
        </w:rPr>
        <w:t>This school-based cross-sectional questionnaire study was conducted at Reach School on Sau Asal Road, Lahore, Pakistan. The planned study period was March-December 2024. The questionnaire was administered by the investigators in interviews lasting approximately 15-20 minutes.</w:t>
      </w:r>
    </w:p>
    <w:p>
      <w:pPr>
        <w:pStyle w:val="Heading3"/>
      </w:pPr>
      <w:r>
        <w:t>Participants</w:t>
      </w:r>
    </w:p>
    <w:p>
      <w:pPr>
        <w:jc w:val="left"/>
      </w:pPr>
      <w:r>
        <w:rPr>
          <w:rFonts w:ascii="Times New Roman" w:hAnsi="Times New Roman"/>
          <w:color w:val="000000"/>
        </w:rPr>
        <w:t>Eligible participants were adolescent girls willing to participate and for whom parental consent was available. The study plan described simple random sampling by lottery from a list of eligible students. The data file contained 120 nonblank participant records and 40 fully blank trailing rows. The blank rows were file artifacts and did not represent recruited or excluded participants. The recruitment denominator, response rate and prospective sample-size calculation were not documented; all 120 nonblank records were analysed.</w:t>
      </w:r>
    </w:p>
    <w:p>
      <w:pPr>
        <w:pStyle w:val="Heading3"/>
      </w:pPr>
      <w:r>
        <w:t>Measures and scoring</w:t>
      </w:r>
    </w:p>
    <w:p>
      <w:pPr>
        <w:jc w:val="left"/>
      </w:pPr>
      <w:r>
        <w:rPr>
          <w:rFonts w:ascii="Times New Roman" w:hAnsi="Times New Roman"/>
          <w:color w:val="000000"/>
        </w:rPr>
        <w:t>The primary outcomes were menstrual hygiene knowledge (0-9) and practice (0-7) scores. Maternal education was categorized as illiterate, primary, middle, secondary, or intermediate and above. Other variables included age, parental occupation, paternal education, monthly household income and family size.</w:t>
      </w:r>
    </w:p>
    <w:p>
      <w:pPr>
        <w:jc w:val="left"/>
      </w:pPr>
      <w:r>
        <w:rPr>
          <w:rFonts w:ascii="Times New Roman" w:hAnsi="Times New Roman"/>
          <w:color w:val="000000"/>
        </w:rPr>
        <w:t>Knowledge and practice were calculated from the prespecified questionnaire scoring keys. For one knowledge item, the data labels identified menstruation as physiological or natural under code 1 and pathological or disease under code 2, whereas the original scoring key awarded the point to code 2. The primary analysis awarded the point to code 1 because menstruation is physiological; original-key scoring was examined in sensitivity analysis. Missing or out-of-label scored responses received zero. Four items awarded one point to every listed response and therefore contributed to totals without discriminating among participants. The study-specific questionnaire had no available documentation of validation, reliability testing, language adaptation or pilot testing.</w:t>
      </w:r>
    </w:p>
    <w:p>
      <w:pPr>
        <w:pStyle w:val="Heading3"/>
      </w:pPr>
      <w:r>
        <w:t>Data quality and statistical analysis</w:t>
      </w:r>
    </w:p>
    <w:p>
      <w:pPr>
        <w:jc w:val="left"/>
      </w:pPr>
      <w:r>
        <w:rPr>
          <w:rFonts w:ascii="Times New Roman" w:hAnsi="Times New Roman"/>
          <w:color w:val="000000"/>
        </w:rPr>
        <w:t>Categorical variables were summarized using frequencies and percentages. Continuous variables were summarized using means, standard deviations, medians, interquartile ranges and ranges. Data checks examined missing values, responses outside SPSS value-label domains and consistency between total family size and the sum of male and female family members.</w:t>
      </w:r>
    </w:p>
    <w:p>
      <w:pPr>
        <w:jc w:val="left"/>
      </w:pPr>
      <w:r>
        <w:rPr>
          <w:rFonts w:ascii="Times New Roman" w:hAnsi="Times New Roman"/>
          <w:color w:val="000000"/>
        </w:rPr>
        <w:t>The knowledge and practice scores were bounded and discrete, and maternal education groups were markedly imbalanced. Primary comparisons therefore used two-sided Kruskal-Wallis tests at a 0.05 significance threshold, with epsilon-squared calculated as H/(n-1). Principal comparisons used unadjusted P-values; because the study plan did not identify one inferential outcome as primary, a conservative exploratory Holm correction was also examined. Pearson complete-case correlations assessed linear associations. Spearman correlations and analyses excluding the smallest education group, restricting practice scores to complete responses, treating education as ordinal and applying the original disputed scoring key were used as sensitivity analyses. Analyses were conducted using Python 3.12.7, pandas 2.2.2, NumPy 1.26.4 and SciPy 1.13.1.</w:t>
      </w:r>
    </w:p>
    <w:p>
      <w:pPr>
        <w:pStyle w:val="Heading3"/>
      </w:pPr>
      <w:r>
        <w:t>Ethical considerations</w:t>
      </w:r>
    </w:p>
    <w:p>
      <w:pPr>
        <w:jc w:val="left"/>
      </w:pPr>
      <w:r>
        <w:rPr>
          <w:rFonts w:ascii="Times New Roman" w:hAnsi="Times New Roman"/>
          <w:color w:val="000000"/>
        </w:rPr>
        <w:t>Ethics approval and parental consent documentation could not be verified. In accordance with Eastern Mediterranean Health Journal requirements, the approving institution, ethics approval number and study-specific consent process for minors must be confirmed and inserted before submission. The manuscript is not ready for submission until these details are supplied.</w:t>
      </w:r>
    </w:p>
    <w:p>
      <w:pPr>
        <w:pStyle w:val="Heading2"/>
      </w:pPr>
      <w:r>
        <w:t>Results</w:t>
      </w:r>
    </w:p>
    <w:p>
      <w:pPr>
        <w:pStyle w:val="Heading3"/>
      </w:pPr>
      <w:r>
        <w:t>Participant characteristics</w:t>
      </w:r>
    </w:p>
    <w:p>
      <w:pPr>
        <w:jc w:val="left"/>
      </w:pPr>
      <w:r>
        <w:rPr>
          <w:rFonts w:ascii="Times New Roman" w:hAnsi="Times New Roman"/>
          <w:color w:val="000000"/>
        </w:rPr>
        <w:t>The 120 participants had a mean age of 14.47 years (standard deviation 1.40; range 12-18 years). Maternal education was predominantly illiterate (71.7%) or primary (14.2%), and only one participant was in the intermediate-and-above category. Monthly household income was strongly right-skewed. Participant characteristics and score summaries are presented in Table 1.</w:t>
      </w:r>
    </w:p>
    <w:p>
      <w:pPr>
        <w:jc w:val="left"/>
      </w:pPr>
      <w:r>
        <w:rPr>
          <w:rFonts w:ascii="Times New Roman" w:hAnsi="Times New Roman"/>
          <w:b/>
          <w:color w:val="000000"/>
        </w:rPr>
        <w:t>Table 1. Participant characteristics and menstrual hygiene scores (N = 120)</w:t>
      </w:r>
    </w:p>
    <w:tbl>
      <w:tblPr>
        <w:tblStyle w:val="TableGrid"/>
        <w:tblW w:type="auto" w:w="0"/>
        <w:tblLook w:firstColumn="1" w:firstRow="1" w:lastColumn="0" w:lastRow="0" w:noHBand="0" w:noVBand="1" w:val="04A0"/>
      </w:tblPr>
      <w:tblGrid>
        <w:gridCol w:w="4680"/>
        <w:gridCol w:w="4680"/>
      </w:tblGrid>
      <w:tr>
        <w:tc>
          <w:tcPr>
            <w:tcW w:type="dxa" w:w="4680"/>
          </w:tcPr>
          <w:p>
            <w:pPr>
              <w:spacing w:line="480" w:lineRule="auto" w:after="0"/>
            </w:pPr>
            <w:r>
              <w:rPr>
                <w:rFonts w:ascii="Times New Roman" w:hAnsi="Times New Roman"/>
                <w:b/>
                <w:color w:val="000000"/>
                <w:sz w:val="24"/>
              </w:rPr>
              <w:t>Characteristic</w:t>
            </w:r>
          </w:p>
        </w:tc>
        <w:tc>
          <w:tcPr>
            <w:tcW w:type="dxa" w:w="4680"/>
          </w:tcPr>
          <w:p>
            <w:pPr>
              <w:spacing w:line="480" w:lineRule="auto" w:after="0"/>
            </w:pPr>
            <w:r>
              <w:rPr>
                <w:rFonts w:ascii="Times New Roman" w:hAnsi="Times New Roman"/>
                <w:b/>
                <w:color w:val="000000"/>
                <w:sz w:val="24"/>
              </w:rPr>
              <w:t>Summary</w:t>
            </w:r>
          </w:p>
        </w:tc>
      </w:tr>
      <w:tr>
        <w:tc>
          <w:tcPr>
            <w:tcW w:type="dxa" w:w="4680"/>
          </w:tcPr>
          <w:p>
            <w:pPr>
              <w:spacing w:line="480" w:lineRule="auto" w:after="0"/>
            </w:pPr>
            <w:r>
              <w:rPr>
                <w:rFonts w:ascii="Times New Roman" w:hAnsi="Times New Roman"/>
                <w:color w:val="000000"/>
                <w:sz w:val="24"/>
              </w:rPr>
              <w:t>Age, years</w:t>
            </w:r>
          </w:p>
        </w:tc>
        <w:tc>
          <w:tcPr>
            <w:tcW w:type="dxa" w:w="4680"/>
          </w:tcPr>
          <w:p>
            <w:pPr>
              <w:spacing w:line="480" w:lineRule="auto" w:after="0"/>
            </w:pPr>
            <w:r>
              <w:rPr>
                <w:rFonts w:ascii="Times New Roman" w:hAnsi="Times New Roman"/>
                <w:color w:val="000000"/>
                <w:sz w:val="24"/>
              </w:rPr>
              <w:t>Mean 14.47 (SD 1.40); median 14.0 (IQR 13.0-15.0)</w:t>
            </w:r>
          </w:p>
        </w:tc>
      </w:tr>
      <w:tr>
        <w:tc>
          <w:tcPr>
            <w:tcW w:type="dxa" w:w="4680"/>
          </w:tcPr>
          <w:p>
            <w:pPr>
              <w:spacing w:line="480" w:lineRule="auto" w:after="0"/>
            </w:pPr>
            <w:r>
              <w:rPr>
                <w:rFonts w:ascii="Times New Roman" w:hAnsi="Times New Roman"/>
                <w:color w:val="000000"/>
                <w:sz w:val="24"/>
              </w:rPr>
              <w:t>Monthly household income</w:t>
            </w:r>
          </w:p>
        </w:tc>
        <w:tc>
          <w:tcPr>
            <w:tcW w:type="dxa" w:w="4680"/>
          </w:tcPr>
          <w:p>
            <w:pPr>
              <w:spacing w:line="480" w:lineRule="auto" w:after="0"/>
            </w:pPr>
            <w:r>
              <w:rPr>
                <w:rFonts w:ascii="Times New Roman" w:hAnsi="Times New Roman"/>
                <w:color w:val="000000"/>
                <w:sz w:val="24"/>
              </w:rPr>
              <w:t>Mean 48,833.33 (SD 57,440.99); median 45,000 (IQR 30,000-50,000)</w:t>
            </w:r>
          </w:p>
        </w:tc>
      </w:tr>
      <w:tr>
        <w:tc>
          <w:tcPr>
            <w:tcW w:type="dxa" w:w="4680"/>
          </w:tcPr>
          <w:p>
            <w:pPr>
              <w:spacing w:line="480" w:lineRule="auto" w:after="0"/>
            </w:pPr>
            <w:r>
              <w:rPr>
                <w:rFonts w:ascii="Times New Roman" w:hAnsi="Times New Roman"/>
                <w:color w:val="000000"/>
                <w:sz w:val="24"/>
              </w:rPr>
              <w:t>Family size</w:t>
            </w:r>
          </w:p>
        </w:tc>
        <w:tc>
          <w:tcPr>
            <w:tcW w:type="dxa" w:w="4680"/>
          </w:tcPr>
          <w:p>
            <w:pPr>
              <w:spacing w:line="480" w:lineRule="auto" w:after="0"/>
            </w:pPr>
            <w:r>
              <w:rPr>
                <w:rFonts w:ascii="Times New Roman" w:hAnsi="Times New Roman"/>
                <w:color w:val="000000"/>
                <w:sz w:val="24"/>
              </w:rPr>
              <w:t>Mean 6.66 (SD 2.38); median 6 (IQR 5-8)</w:t>
            </w:r>
          </w:p>
        </w:tc>
      </w:tr>
      <w:tr>
        <w:tc>
          <w:tcPr>
            <w:tcW w:type="dxa" w:w="4680"/>
          </w:tcPr>
          <w:p>
            <w:pPr>
              <w:spacing w:line="480" w:lineRule="auto" w:after="0"/>
            </w:pPr>
            <w:r>
              <w:rPr>
                <w:rFonts w:ascii="Times New Roman" w:hAnsi="Times New Roman"/>
                <w:color w:val="000000"/>
                <w:sz w:val="24"/>
              </w:rPr>
              <w:t>Maternal education: illiterate</w:t>
            </w:r>
          </w:p>
        </w:tc>
        <w:tc>
          <w:tcPr>
            <w:tcW w:type="dxa" w:w="4680"/>
          </w:tcPr>
          <w:p>
            <w:pPr>
              <w:spacing w:line="480" w:lineRule="auto" w:after="0"/>
            </w:pPr>
            <w:r>
              <w:rPr>
                <w:rFonts w:ascii="Times New Roman" w:hAnsi="Times New Roman"/>
                <w:color w:val="000000"/>
                <w:sz w:val="24"/>
              </w:rPr>
              <w:t>86 (71.7%)</w:t>
            </w:r>
          </w:p>
        </w:tc>
      </w:tr>
      <w:tr>
        <w:tc>
          <w:tcPr>
            <w:tcW w:type="dxa" w:w="4680"/>
          </w:tcPr>
          <w:p>
            <w:pPr>
              <w:spacing w:line="480" w:lineRule="auto" w:after="0"/>
            </w:pPr>
            <w:r>
              <w:rPr>
                <w:rFonts w:ascii="Times New Roman" w:hAnsi="Times New Roman"/>
                <w:color w:val="000000"/>
                <w:sz w:val="24"/>
              </w:rPr>
              <w:t>Maternal education: primary</w:t>
            </w:r>
          </w:p>
        </w:tc>
        <w:tc>
          <w:tcPr>
            <w:tcW w:type="dxa" w:w="4680"/>
          </w:tcPr>
          <w:p>
            <w:pPr>
              <w:spacing w:line="480" w:lineRule="auto" w:after="0"/>
            </w:pPr>
            <w:r>
              <w:rPr>
                <w:rFonts w:ascii="Times New Roman" w:hAnsi="Times New Roman"/>
                <w:color w:val="000000"/>
                <w:sz w:val="24"/>
              </w:rPr>
              <w:t>17 (14.2%)</w:t>
            </w:r>
          </w:p>
        </w:tc>
      </w:tr>
      <w:tr>
        <w:tc>
          <w:tcPr>
            <w:tcW w:type="dxa" w:w="4680"/>
          </w:tcPr>
          <w:p>
            <w:pPr>
              <w:spacing w:line="480" w:lineRule="auto" w:after="0"/>
            </w:pPr>
            <w:r>
              <w:rPr>
                <w:rFonts w:ascii="Times New Roman" w:hAnsi="Times New Roman"/>
                <w:color w:val="000000"/>
                <w:sz w:val="24"/>
              </w:rPr>
              <w:t>Maternal education: middle</w:t>
            </w:r>
          </w:p>
        </w:tc>
        <w:tc>
          <w:tcPr>
            <w:tcW w:type="dxa" w:w="4680"/>
          </w:tcPr>
          <w:p>
            <w:pPr>
              <w:spacing w:line="480" w:lineRule="auto" w:after="0"/>
            </w:pPr>
            <w:r>
              <w:rPr>
                <w:rFonts w:ascii="Times New Roman" w:hAnsi="Times New Roman"/>
                <w:color w:val="000000"/>
                <w:sz w:val="24"/>
              </w:rPr>
              <w:t>8 (6.7%)</w:t>
            </w:r>
          </w:p>
        </w:tc>
      </w:tr>
      <w:tr>
        <w:tc>
          <w:tcPr>
            <w:tcW w:type="dxa" w:w="4680"/>
          </w:tcPr>
          <w:p>
            <w:pPr>
              <w:spacing w:line="480" w:lineRule="auto" w:after="0"/>
            </w:pPr>
            <w:r>
              <w:rPr>
                <w:rFonts w:ascii="Times New Roman" w:hAnsi="Times New Roman"/>
                <w:color w:val="000000"/>
                <w:sz w:val="24"/>
              </w:rPr>
              <w:t>Maternal education: secondary</w:t>
            </w:r>
          </w:p>
        </w:tc>
        <w:tc>
          <w:tcPr>
            <w:tcW w:type="dxa" w:w="4680"/>
          </w:tcPr>
          <w:p>
            <w:pPr>
              <w:spacing w:line="480" w:lineRule="auto" w:after="0"/>
            </w:pPr>
            <w:r>
              <w:rPr>
                <w:rFonts w:ascii="Times New Roman" w:hAnsi="Times New Roman"/>
                <w:color w:val="000000"/>
                <w:sz w:val="24"/>
              </w:rPr>
              <w:t>8 (6.7%)</w:t>
            </w:r>
          </w:p>
        </w:tc>
      </w:tr>
      <w:tr>
        <w:tc>
          <w:tcPr>
            <w:tcW w:type="dxa" w:w="4680"/>
          </w:tcPr>
          <w:p>
            <w:pPr>
              <w:spacing w:line="480" w:lineRule="auto" w:after="0"/>
            </w:pPr>
            <w:r>
              <w:rPr>
                <w:rFonts w:ascii="Times New Roman" w:hAnsi="Times New Roman"/>
                <w:color w:val="000000"/>
                <w:sz w:val="24"/>
              </w:rPr>
              <w:t>Maternal education: intermediate and above</w:t>
            </w:r>
          </w:p>
        </w:tc>
        <w:tc>
          <w:tcPr>
            <w:tcW w:type="dxa" w:w="4680"/>
          </w:tcPr>
          <w:p>
            <w:pPr>
              <w:spacing w:line="480" w:lineRule="auto" w:after="0"/>
            </w:pPr>
            <w:r>
              <w:rPr>
                <w:rFonts w:ascii="Times New Roman" w:hAnsi="Times New Roman"/>
                <w:color w:val="000000"/>
                <w:sz w:val="24"/>
              </w:rPr>
              <w:t>1 (0.8%)</w:t>
            </w:r>
          </w:p>
        </w:tc>
      </w:tr>
      <w:tr>
        <w:tc>
          <w:tcPr>
            <w:tcW w:type="dxa" w:w="4680"/>
          </w:tcPr>
          <w:p>
            <w:pPr>
              <w:spacing w:line="480" w:lineRule="auto" w:after="0"/>
            </w:pPr>
            <w:r>
              <w:rPr>
                <w:rFonts w:ascii="Times New Roman" w:hAnsi="Times New Roman"/>
                <w:color w:val="000000"/>
                <w:sz w:val="24"/>
              </w:rPr>
              <w:t>Knowledge score, 0-9</w:t>
            </w:r>
          </w:p>
        </w:tc>
        <w:tc>
          <w:tcPr>
            <w:tcW w:type="dxa" w:w="4680"/>
          </w:tcPr>
          <w:p>
            <w:pPr>
              <w:spacing w:line="480" w:lineRule="auto" w:after="0"/>
            </w:pPr>
            <w:r>
              <w:rPr>
                <w:rFonts w:ascii="Times New Roman" w:hAnsi="Times New Roman"/>
                <w:color w:val="000000"/>
                <w:sz w:val="24"/>
              </w:rPr>
              <w:t>Mean 6.65 (SD 1.22); median 7.00; range 3-9</w:t>
            </w:r>
          </w:p>
        </w:tc>
      </w:tr>
      <w:tr>
        <w:tc>
          <w:tcPr>
            <w:tcW w:type="dxa" w:w="4680"/>
          </w:tcPr>
          <w:p>
            <w:pPr>
              <w:spacing w:line="480" w:lineRule="auto" w:after="0"/>
            </w:pPr>
            <w:r>
              <w:rPr>
                <w:rFonts w:ascii="Times New Roman" w:hAnsi="Times New Roman"/>
                <w:color w:val="000000"/>
                <w:sz w:val="24"/>
              </w:rPr>
              <w:t>Practice score, 0-7</w:t>
            </w:r>
          </w:p>
        </w:tc>
        <w:tc>
          <w:tcPr>
            <w:tcW w:type="dxa" w:w="4680"/>
          </w:tcPr>
          <w:p>
            <w:pPr>
              <w:spacing w:line="480" w:lineRule="auto" w:after="0"/>
            </w:pPr>
            <w:r>
              <w:rPr>
                <w:rFonts w:ascii="Times New Roman" w:hAnsi="Times New Roman"/>
                <w:color w:val="000000"/>
                <w:sz w:val="24"/>
              </w:rPr>
              <w:t>Mean 5.68 (SD 0.58); median 6.00; range 4-7</w:t>
            </w:r>
          </w:p>
        </w:tc>
      </w:tr>
    </w:tbl>
    <w:p/>
    <w:p>
      <w:pPr>
        <w:jc w:val="left"/>
      </w:pPr>
      <w:r>
        <w:rPr>
          <w:rFonts w:ascii="Times New Roman" w:hAnsi="Times New Roman"/>
          <w:i/>
          <w:color w:val="000000"/>
        </w:rPr>
        <w:t>SD: standard deviation; IQR: interquartile range.</w:t>
      </w:r>
    </w:p>
    <w:p>
      <w:pPr>
        <w:jc w:val="left"/>
      </w:pPr>
      <w:r>
        <w:rPr>
          <w:rFonts w:ascii="Times New Roman" w:hAnsi="Times New Roman"/>
          <w:color w:val="000000"/>
        </w:rPr>
        <w:t>Knowledge scores ranged from 3 to 9 and practice scores from 4 to 7. The modal knowledge score was 7 (37.5%) and the modal practice score was 6 (71.7%) (Figure 1).</w:t>
      </w:r>
    </w:p>
    <w:p>
      <w:pPr>
        <w:jc w:val="center"/>
      </w:pPr>
      <w:r>
        <w:drawing>
          <wp:inline xmlns:a="http://schemas.openxmlformats.org/drawingml/2006/main" xmlns:pic="http://schemas.openxmlformats.org/drawingml/2006/picture">
            <wp:extent cx="5669280" cy="2335063"/>
            <wp:docPr id="1" name="Picture 1"/>
            <wp:cNvGraphicFramePr>
              <a:graphicFrameLocks noChangeAspect="1"/>
            </wp:cNvGraphicFramePr>
            <a:graphic>
              <a:graphicData uri="http://schemas.openxmlformats.org/drawingml/2006/picture">
                <pic:pic>
                  <pic:nvPicPr>
                    <pic:cNvPr id="0" name="manuscript_score_distributions.png"/>
                    <pic:cNvPicPr/>
                  </pic:nvPicPr>
                  <pic:blipFill>
                    <a:blip r:embed="rId10"/>
                    <a:stretch>
                      <a:fillRect/>
                    </a:stretch>
                  </pic:blipFill>
                  <pic:spPr>
                    <a:xfrm>
                      <a:off x="0" y="0"/>
                      <a:ext cx="5669280" cy="2335063"/>
                    </a:xfrm>
                    <a:prstGeom prst="rect"/>
                  </pic:spPr>
                </pic:pic>
              </a:graphicData>
            </a:graphic>
          </wp:inline>
        </w:drawing>
      </w:r>
    </w:p>
    <w:p>
      <w:pPr>
        <w:spacing w:line="480" w:lineRule="auto"/>
        <w:jc w:val="center"/>
      </w:pPr>
      <w:r>
        <w:rPr>
          <w:rFonts w:ascii="Times New Roman" w:hAnsi="Times New Roman"/>
          <w:i/>
          <w:color w:val="000000"/>
          <w:sz w:val="24"/>
        </w:rPr>
        <w:t>Figure 1. Distribution of menstrual hygiene knowledge and practice scores.</w:t>
      </w:r>
    </w:p>
    <w:p/>
    <w:p>
      <w:pPr>
        <w:pStyle w:val="Heading3"/>
      </w:pPr>
      <w:r>
        <w:t>Maternal education and menstrual hygiene scores</w:t>
      </w:r>
    </w:p>
    <w:p>
      <w:pPr>
        <w:jc w:val="left"/>
      </w:pPr>
      <w:r>
        <w:rPr>
          <w:rFonts w:ascii="Times New Roman" w:hAnsi="Times New Roman"/>
          <w:color w:val="000000"/>
        </w:rPr>
        <w:t>Mean knowledge scores ranged from 6.53 among participants whose mothers were illiterate or had primary education to 8.00 in the single participant in the highest category. Mean practice scores ranged from 5.59 in the illiterate group to 6.12 in the secondary group (Table 2 and Figure 2).</w:t>
      </w:r>
    </w:p>
    <w:p>
      <w:pPr>
        <w:jc w:val="left"/>
      </w:pPr>
      <w:r>
        <w:rPr>
          <w:rFonts w:ascii="Times New Roman" w:hAnsi="Times New Roman"/>
          <w:b/>
          <w:color w:val="000000"/>
        </w:rPr>
        <w:t>Table 2. Menstrual hygiene scores by maternal education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480" w:lineRule="auto" w:after="0"/>
            </w:pPr>
            <w:r>
              <w:rPr>
                <w:rFonts w:ascii="Times New Roman" w:hAnsi="Times New Roman"/>
                <w:b/>
                <w:color w:val="000000"/>
                <w:sz w:val="24"/>
              </w:rPr>
              <w:t>Maternal education</w:t>
            </w:r>
          </w:p>
        </w:tc>
        <w:tc>
          <w:tcPr>
            <w:tcW w:type="dxa" w:w="1560"/>
          </w:tcPr>
          <w:p>
            <w:pPr>
              <w:spacing w:line="480" w:lineRule="auto" w:after="0"/>
            </w:pPr>
            <w:r>
              <w:rPr>
                <w:rFonts w:ascii="Times New Roman" w:hAnsi="Times New Roman"/>
                <w:b/>
                <w:color w:val="000000"/>
                <w:sz w:val="24"/>
              </w:rPr>
              <w:t>n</w:t>
            </w:r>
          </w:p>
        </w:tc>
        <w:tc>
          <w:tcPr>
            <w:tcW w:type="dxa" w:w="1560"/>
          </w:tcPr>
          <w:p>
            <w:pPr>
              <w:spacing w:line="480" w:lineRule="auto" w:after="0"/>
            </w:pPr>
            <w:r>
              <w:rPr>
                <w:rFonts w:ascii="Times New Roman" w:hAnsi="Times New Roman"/>
                <w:b/>
                <w:color w:val="000000"/>
                <w:sz w:val="24"/>
              </w:rPr>
              <w:t>Knowledge, mean (SD)</w:t>
            </w:r>
          </w:p>
        </w:tc>
        <w:tc>
          <w:tcPr>
            <w:tcW w:type="dxa" w:w="1560"/>
          </w:tcPr>
          <w:p>
            <w:pPr>
              <w:spacing w:line="480" w:lineRule="auto" w:after="0"/>
            </w:pPr>
            <w:r>
              <w:rPr>
                <w:rFonts w:ascii="Times New Roman" w:hAnsi="Times New Roman"/>
                <w:b/>
                <w:color w:val="000000"/>
                <w:sz w:val="24"/>
              </w:rPr>
              <w:t>Knowledge, median (IQR)</w:t>
            </w:r>
          </w:p>
        </w:tc>
        <w:tc>
          <w:tcPr>
            <w:tcW w:type="dxa" w:w="1560"/>
          </w:tcPr>
          <w:p>
            <w:pPr>
              <w:spacing w:line="480" w:lineRule="auto" w:after="0"/>
            </w:pPr>
            <w:r>
              <w:rPr>
                <w:rFonts w:ascii="Times New Roman" w:hAnsi="Times New Roman"/>
                <w:b/>
                <w:color w:val="000000"/>
                <w:sz w:val="24"/>
              </w:rPr>
              <w:t>Practice, mean (SD)</w:t>
            </w:r>
          </w:p>
        </w:tc>
        <w:tc>
          <w:tcPr>
            <w:tcW w:type="dxa" w:w="1560"/>
          </w:tcPr>
          <w:p>
            <w:pPr>
              <w:spacing w:line="480" w:lineRule="auto" w:after="0"/>
            </w:pPr>
            <w:r>
              <w:rPr>
                <w:rFonts w:ascii="Times New Roman" w:hAnsi="Times New Roman"/>
                <w:b/>
                <w:color w:val="000000"/>
                <w:sz w:val="24"/>
              </w:rPr>
              <w:t>Practice, median (IQR)</w:t>
            </w:r>
          </w:p>
        </w:tc>
      </w:tr>
      <w:tr>
        <w:tc>
          <w:tcPr>
            <w:tcW w:type="dxa" w:w="1560"/>
          </w:tcPr>
          <w:p>
            <w:pPr>
              <w:spacing w:line="480" w:lineRule="auto" w:after="0"/>
            </w:pPr>
            <w:r>
              <w:rPr>
                <w:rFonts w:ascii="Times New Roman" w:hAnsi="Times New Roman"/>
                <w:color w:val="000000"/>
                <w:sz w:val="24"/>
              </w:rPr>
              <w:t>Illiterate</w:t>
            </w:r>
          </w:p>
        </w:tc>
        <w:tc>
          <w:tcPr>
            <w:tcW w:type="dxa" w:w="1560"/>
          </w:tcPr>
          <w:p>
            <w:pPr>
              <w:spacing w:line="480" w:lineRule="auto" w:after="0"/>
              <w:jc w:val="right"/>
            </w:pPr>
            <w:r>
              <w:rPr>
                <w:rFonts w:ascii="Times New Roman" w:hAnsi="Times New Roman"/>
                <w:color w:val="000000"/>
                <w:sz w:val="24"/>
              </w:rPr>
              <w:t>86</w:t>
            </w:r>
          </w:p>
        </w:tc>
        <w:tc>
          <w:tcPr>
            <w:tcW w:type="dxa" w:w="1560"/>
          </w:tcPr>
          <w:p>
            <w:pPr>
              <w:spacing w:line="480" w:lineRule="auto" w:after="0"/>
            </w:pPr>
            <w:r>
              <w:rPr>
                <w:rFonts w:ascii="Times New Roman" w:hAnsi="Times New Roman"/>
                <w:color w:val="000000"/>
                <w:sz w:val="24"/>
              </w:rPr>
              <w:t>6.53 (1.27)</w:t>
            </w:r>
          </w:p>
        </w:tc>
        <w:tc>
          <w:tcPr>
            <w:tcW w:type="dxa" w:w="1560"/>
          </w:tcPr>
          <w:p>
            <w:pPr>
              <w:spacing w:line="480" w:lineRule="auto" w:after="0"/>
            </w:pPr>
            <w:r>
              <w:rPr>
                <w:rFonts w:ascii="Times New Roman" w:hAnsi="Times New Roman"/>
                <w:color w:val="000000"/>
                <w:sz w:val="24"/>
              </w:rPr>
              <w:t>7.0 (6.0-7.0)</w:t>
            </w:r>
          </w:p>
        </w:tc>
        <w:tc>
          <w:tcPr>
            <w:tcW w:type="dxa" w:w="1560"/>
          </w:tcPr>
          <w:p>
            <w:pPr>
              <w:spacing w:line="480" w:lineRule="auto" w:after="0"/>
            </w:pPr>
            <w:r>
              <w:rPr>
                <w:rFonts w:ascii="Times New Roman" w:hAnsi="Times New Roman"/>
                <w:color w:val="000000"/>
                <w:sz w:val="24"/>
              </w:rPr>
              <w:t>5.59 (0.62)</w:t>
            </w:r>
          </w:p>
        </w:tc>
        <w:tc>
          <w:tcPr>
            <w:tcW w:type="dxa" w:w="1560"/>
          </w:tcPr>
          <w:p>
            <w:pPr>
              <w:spacing w:line="480" w:lineRule="auto" w:after="0"/>
            </w:pPr>
            <w:r>
              <w:rPr>
                <w:rFonts w:ascii="Times New Roman" w:hAnsi="Times New Roman"/>
                <w:color w:val="000000"/>
                <w:sz w:val="24"/>
              </w:rPr>
              <w:t>6.0 (5.0-6.0)</w:t>
            </w:r>
          </w:p>
        </w:tc>
      </w:tr>
      <w:tr>
        <w:tc>
          <w:tcPr>
            <w:tcW w:type="dxa" w:w="1560"/>
          </w:tcPr>
          <w:p>
            <w:pPr>
              <w:spacing w:line="480" w:lineRule="auto" w:after="0"/>
            </w:pPr>
            <w:r>
              <w:rPr>
                <w:rFonts w:ascii="Times New Roman" w:hAnsi="Times New Roman"/>
                <w:color w:val="000000"/>
                <w:sz w:val="24"/>
              </w:rPr>
              <w:t>Primary</w:t>
            </w:r>
          </w:p>
        </w:tc>
        <w:tc>
          <w:tcPr>
            <w:tcW w:type="dxa" w:w="1560"/>
          </w:tcPr>
          <w:p>
            <w:pPr>
              <w:spacing w:line="480" w:lineRule="auto" w:after="0"/>
              <w:jc w:val="right"/>
            </w:pPr>
            <w:r>
              <w:rPr>
                <w:rFonts w:ascii="Times New Roman" w:hAnsi="Times New Roman"/>
                <w:color w:val="000000"/>
                <w:sz w:val="24"/>
              </w:rPr>
              <w:t>17</w:t>
            </w:r>
          </w:p>
        </w:tc>
        <w:tc>
          <w:tcPr>
            <w:tcW w:type="dxa" w:w="1560"/>
          </w:tcPr>
          <w:p>
            <w:pPr>
              <w:spacing w:line="480" w:lineRule="auto" w:after="0"/>
            </w:pPr>
            <w:r>
              <w:rPr>
                <w:rFonts w:ascii="Times New Roman" w:hAnsi="Times New Roman"/>
                <w:color w:val="000000"/>
                <w:sz w:val="24"/>
              </w:rPr>
              <w:t>6.53 (1.23)</w:t>
            </w:r>
          </w:p>
        </w:tc>
        <w:tc>
          <w:tcPr>
            <w:tcW w:type="dxa" w:w="1560"/>
          </w:tcPr>
          <w:p>
            <w:pPr>
              <w:spacing w:line="480" w:lineRule="auto" w:after="0"/>
            </w:pPr>
            <w:r>
              <w:rPr>
                <w:rFonts w:ascii="Times New Roman" w:hAnsi="Times New Roman"/>
                <w:color w:val="000000"/>
                <w:sz w:val="24"/>
              </w:rPr>
              <w:t>7.0 (7.0-7.0)</w:t>
            </w:r>
          </w:p>
        </w:tc>
        <w:tc>
          <w:tcPr>
            <w:tcW w:type="dxa" w:w="1560"/>
          </w:tcPr>
          <w:p>
            <w:pPr>
              <w:spacing w:line="480" w:lineRule="auto" w:after="0"/>
            </w:pPr>
            <w:r>
              <w:rPr>
                <w:rFonts w:ascii="Times New Roman" w:hAnsi="Times New Roman"/>
                <w:color w:val="000000"/>
                <w:sz w:val="24"/>
              </w:rPr>
              <w:t>5.76 (0.44)</w:t>
            </w:r>
          </w:p>
        </w:tc>
        <w:tc>
          <w:tcPr>
            <w:tcW w:type="dxa" w:w="1560"/>
          </w:tcPr>
          <w:p>
            <w:pPr>
              <w:spacing w:line="480" w:lineRule="auto" w:after="0"/>
            </w:pPr>
            <w:r>
              <w:rPr>
                <w:rFonts w:ascii="Times New Roman" w:hAnsi="Times New Roman"/>
                <w:color w:val="000000"/>
                <w:sz w:val="24"/>
              </w:rPr>
              <w:t>6.0 (6.0-6.0)</w:t>
            </w:r>
          </w:p>
        </w:tc>
      </w:tr>
      <w:tr>
        <w:tc>
          <w:tcPr>
            <w:tcW w:type="dxa" w:w="1560"/>
          </w:tcPr>
          <w:p>
            <w:pPr>
              <w:spacing w:line="480" w:lineRule="auto" w:after="0"/>
            </w:pPr>
            <w:r>
              <w:rPr>
                <w:rFonts w:ascii="Times New Roman" w:hAnsi="Times New Roman"/>
                <w:color w:val="000000"/>
                <w:sz w:val="24"/>
              </w:rPr>
              <w:t>Middle</w:t>
            </w:r>
          </w:p>
        </w:tc>
        <w:tc>
          <w:tcPr>
            <w:tcW w:type="dxa" w:w="1560"/>
          </w:tcPr>
          <w:p>
            <w:pPr>
              <w:spacing w:line="480" w:lineRule="auto" w:after="0"/>
              <w:jc w:val="right"/>
            </w:pPr>
            <w:r>
              <w:rPr>
                <w:rFonts w:ascii="Times New Roman" w:hAnsi="Times New Roman"/>
                <w:color w:val="000000"/>
                <w:sz w:val="24"/>
              </w:rPr>
              <w:t>8</w:t>
            </w:r>
          </w:p>
        </w:tc>
        <w:tc>
          <w:tcPr>
            <w:tcW w:type="dxa" w:w="1560"/>
          </w:tcPr>
          <w:p>
            <w:pPr>
              <w:spacing w:line="480" w:lineRule="auto" w:after="0"/>
            </w:pPr>
            <w:r>
              <w:rPr>
                <w:rFonts w:ascii="Times New Roman" w:hAnsi="Times New Roman"/>
                <w:color w:val="000000"/>
                <w:sz w:val="24"/>
              </w:rPr>
              <w:t>7.38 (0.52)</w:t>
            </w:r>
          </w:p>
        </w:tc>
        <w:tc>
          <w:tcPr>
            <w:tcW w:type="dxa" w:w="1560"/>
          </w:tcPr>
          <w:p>
            <w:pPr>
              <w:spacing w:line="480" w:lineRule="auto" w:after="0"/>
            </w:pPr>
            <w:r>
              <w:rPr>
                <w:rFonts w:ascii="Times New Roman" w:hAnsi="Times New Roman"/>
                <w:color w:val="000000"/>
                <w:sz w:val="24"/>
              </w:rPr>
              <w:t>7.0 (7.0-8.0)</w:t>
            </w:r>
          </w:p>
        </w:tc>
        <w:tc>
          <w:tcPr>
            <w:tcW w:type="dxa" w:w="1560"/>
          </w:tcPr>
          <w:p>
            <w:pPr>
              <w:spacing w:line="480" w:lineRule="auto" w:after="0"/>
            </w:pPr>
            <w:r>
              <w:rPr>
                <w:rFonts w:ascii="Times New Roman" w:hAnsi="Times New Roman"/>
                <w:color w:val="000000"/>
                <w:sz w:val="24"/>
              </w:rPr>
              <w:t>6.00 (0.00)</w:t>
            </w:r>
          </w:p>
        </w:tc>
        <w:tc>
          <w:tcPr>
            <w:tcW w:type="dxa" w:w="1560"/>
          </w:tcPr>
          <w:p>
            <w:pPr>
              <w:spacing w:line="480" w:lineRule="auto" w:after="0"/>
            </w:pPr>
            <w:r>
              <w:rPr>
                <w:rFonts w:ascii="Times New Roman" w:hAnsi="Times New Roman"/>
                <w:color w:val="000000"/>
                <w:sz w:val="24"/>
              </w:rPr>
              <w:t>6.0 (6.0-6.0)</w:t>
            </w:r>
          </w:p>
        </w:tc>
      </w:tr>
      <w:tr>
        <w:tc>
          <w:tcPr>
            <w:tcW w:type="dxa" w:w="1560"/>
          </w:tcPr>
          <w:p>
            <w:pPr>
              <w:spacing w:line="480" w:lineRule="auto" w:after="0"/>
            </w:pPr>
            <w:r>
              <w:rPr>
                <w:rFonts w:ascii="Times New Roman" w:hAnsi="Times New Roman"/>
                <w:color w:val="000000"/>
                <w:sz w:val="24"/>
              </w:rPr>
              <w:t>Secondary</w:t>
            </w:r>
          </w:p>
        </w:tc>
        <w:tc>
          <w:tcPr>
            <w:tcW w:type="dxa" w:w="1560"/>
          </w:tcPr>
          <w:p>
            <w:pPr>
              <w:spacing w:line="480" w:lineRule="auto" w:after="0"/>
              <w:jc w:val="right"/>
            </w:pPr>
            <w:r>
              <w:rPr>
                <w:rFonts w:ascii="Times New Roman" w:hAnsi="Times New Roman"/>
                <w:color w:val="000000"/>
                <w:sz w:val="24"/>
              </w:rPr>
              <w:t>8</w:t>
            </w:r>
          </w:p>
        </w:tc>
        <w:tc>
          <w:tcPr>
            <w:tcW w:type="dxa" w:w="1560"/>
          </w:tcPr>
          <w:p>
            <w:pPr>
              <w:spacing w:line="480" w:lineRule="auto" w:after="0"/>
            </w:pPr>
            <w:r>
              <w:rPr>
                <w:rFonts w:ascii="Times New Roman" w:hAnsi="Times New Roman"/>
                <w:color w:val="000000"/>
                <w:sz w:val="24"/>
              </w:rPr>
              <w:t>7.25 (0.71)</w:t>
            </w:r>
          </w:p>
        </w:tc>
        <w:tc>
          <w:tcPr>
            <w:tcW w:type="dxa" w:w="1560"/>
          </w:tcPr>
          <w:p>
            <w:pPr>
              <w:spacing w:line="480" w:lineRule="auto" w:after="0"/>
            </w:pPr>
            <w:r>
              <w:rPr>
                <w:rFonts w:ascii="Times New Roman" w:hAnsi="Times New Roman"/>
                <w:color w:val="000000"/>
                <w:sz w:val="24"/>
              </w:rPr>
              <w:t>7.0 (7.0-8.0)</w:t>
            </w:r>
          </w:p>
        </w:tc>
        <w:tc>
          <w:tcPr>
            <w:tcW w:type="dxa" w:w="1560"/>
          </w:tcPr>
          <w:p>
            <w:pPr>
              <w:spacing w:line="480" w:lineRule="auto" w:after="0"/>
            </w:pPr>
            <w:r>
              <w:rPr>
                <w:rFonts w:ascii="Times New Roman" w:hAnsi="Times New Roman"/>
                <w:color w:val="000000"/>
                <w:sz w:val="24"/>
              </w:rPr>
              <w:t>6.12 (0.35)</w:t>
            </w:r>
          </w:p>
        </w:tc>
        <w:tc>
          <w:tcPr>
            <w:tcW w:type="dxa" w:w="1560"/>
          </w:tcPr>
          <w:p>
            <w:pPr>
              <w:spacing w:line="480" w:lineRule="auto" w:after="0"/>
            </w:pPr>
            <w:r>
              <w:rPr>
                <w:rFonts w:ascii="Times New Roman" w:hAnsi="Times New Roman"/>
                <w:color w:val="000000"/>
                <w:sz w:val="24"/>
              </w:rPr>
              <w:t>6.0 (6.0-6.0)</w:t>
            </w:r>
          </w:p>
        </w:tc>
      </w:tr>
      <w:tr>
        <w:tc>
          <w:tcPr>
            <w:tcW w:type="dxa" w:w="1560"/>
          </w:tcPr>
          <w:p>
            <w:pPr>
              <w:spacing w:line="480" w:lineRule="auto" w:after="0"/>
            </w:pPr>
            <w:r>
              <w:rPr>
                <w:rFonts w:ascii="Times New Roman" w:hAnsi="Times New Roman"/>
                <w:color w:val="000000"/>
                <w:sz w:val="24"/>
              </w:rPr>
              <w:t>Intermediate and above</w:t>
            </w:r>
          </w:p>
        </w:tc>
        <w:tc>
          <w:tcPr>
            <w:tcW w:type="dxa" w:w="1560"/>
          </w:tcPr>
          <w:p>
            <w:pPr>
              <w:spacing w:line="480" w:lineRule="auto" w:after="0"/>
              <w:jc w:val="right"/>
            </w:pPr>
            <w:r>
              <w:rPr>
                <w:rFonts w:ascii="Times New Roman" w:hAnsi="Times New Roman"/>
                <w:color w:val="000000"/>
                <w:sz w:val="24"/>
              </w:rPr>
              <w:t>1</w:t>
            </w:r>
          </w:p>
        </w:tc>
        <w:tc>
          <w:tcPr>
            <w:tcW w:type="dxa" w:w="1560"/>
          </w:tcPr>
          <w:p>
            <w:pPr>
              <w:spacing w:line="480" w:lineRule="auto" w:after="0"/>
              <w:jc w:val="right"/>
            </w:pPr>
            <w:r>
              <w:rPr>
                <w:rFonts w:ascii="Times New Roman" w:hAnsi="Times New Roman"/>
                <w:color w:val="000000"/>
                <w:sz w:val="24"/>
              </w:rPr>
              <w:t>8.00</w:t>
            </w:r>
          </w:p>
        </w:tc>
        <w:tc>
          <w:tcPr>
            <w:tcW w:type="dxa" w:w="1560"/>
          </w:tcPr>
          <w:p>
            <w:pPr>
              <w:spacing w:line="480" w:lineRule="auto" w:after="0"/>
            </w:pPr>
            <w:r>
              <w:rPr>
                <w:rFonts w:ascii="Times New Roman" w:hAnsi="Times New Roman"/>
                <w:color w:val="000000"/>
                <w:sz w:val="24"/>
              </w:rPr>
              <w:t>8.0 (single value)</w:t>
            </w:r>
          </w:p>
        </w:tc>
        <w:tc>
          <w:tcPr>
            <w:tcW w:type="dxa" w:w="1560"/>
          </w:tcPr>
          <w:p>
            <w:pPr>
              <w:spacing w:line="480" w:lineRule="auto" w:after="0"/>
              <w:jc w:val="right"/>
            </w:pPr>
            <w:r>
              <w:rPr>
                <w:rFonts w:ascii="Times New Roman" w:hAnsi="Times New Roman"/>
                <w:color w:val="000000"/>
                <w:sz w:val="24"/>
              </w:rPr>
              <w:t>6.00</w:t>
            </w:r>
          </w:p>
        </w:tc>
        <w:tc>
          <w:tcPr>
            <w:tcW w:type="dxa" w:w="1560"/>
          </w:tcPr>
          <w:p>
            <w:pPr>
              <w:spacing w:line="480" w:lineRule="auto" w:after="0"/>
            </w:pPr>
            <w:r>
              <w:rPr>
                <w:rFonts w:ascii="Times New Roman" w:hAnsi="Times New Roman"/>
                <w:color w:val="000000"/>
                <w:sz w:val="24"/>
              </w:rPr>
              <w:t>6.0 (single value)</w:t>
            </w:r>
          </w:p>
        </w:tc>
      </w:tr>
    </w:tbl>
    <w:p/>
    <w:p>
      <w:pPr>
        <w:jc w:val="left"/>
      </w:pPr>
      <w:r>
        <w:rPr>
          <w:rFonts w:ascii="Times New Roman" w:hAnsi="Times New Roman"/>
          <w:i/>
          <w:color w:val="000000"/>
        </w:rPr>
        <w:t>SD: standard deviation; IQR: interquartile range. Kruskal-Wallis results: knowledge H = 8.0427, P = 0.0900, epsilon-squared = 0.0676; practice H = 10.1562, P = 0.0379, epsilon-squared = 0.0853.</w:t>
      </w:r>
    </w:p>
    <w:p>
      <w:pPr>
        <w:jc w:val="center"/>
      </w:pPr>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manuscript_scores_by_maternal_education.png"/>
                    <pic:cNvPicPr/>
                  </pic:nvPicPr>
                  <pic:blipFill>
                    <a:blip r:embed="rId11"/>
                    <a:stretch>
                      <a:fillRect/>
                    </a:stretch>
                  </pic:blipFill>
                  <pic:spPr>
                    <a:xfrm>
                      <a:off x="0" y="0"/>
                      <a:ext cx="5669280" cy="3378662"/>
                    </a:xfrm>
                    <a:prstGeom prst="rect"/>
                  </pic:spPr>
                </pic:pic>
              </a:graphicData>
            </a:graphic>
          </wp:inline>
        </w:drawing>
      </w:r>
    </w:p>
    <w:p>
      <w:pPr>
        <w:spacing w:line="480" w:lineRule="auto"/>
        <w:jc w:val="center"/>
      </w:pPr>
      <w:r>
        <w:rPr>
          <w:rFonts w:ascii="Times New Roman" w:hAnsi="Times New Roman"/>
          <w:i/>
          <w:color w:val="000000"/>
          <w:sz w:val="24"/>
        </w:rPr>
        <w:t>Figure 2. Mean knowledge and practice scores by maternal education.</w:t>
      </w:r>
    </w:p>
    <w:p/>
    <w:p>
      <w:pPr>
        <w:jc w:val="left"/>
      </w:pPr>
      <w:r>
        <w:rPr>
          <w:rFonts w:ascii="Times New Roman" w:hAnsi="Times New Roman"/>
          <w:color w:val="000000"/>
        </w:rPr>
        <w:t>Practice scores differed significantly across maternal education groups in the primary unadjusted analysis (H = 10.1562, P = 0.0379; epsilon-squared = 0.0853). The knowledge comparison was not statistically significant (H = 8.0427, P = 0.0900; epsilon-squared = 0.0676). The conservative exploratory Holm-adjusted practice P-value was 0.0758. A significant result for practice and a nonsignificant result for knowledge does not establish that the strengths of these associations differ.</w:t>
      </w:r>
    </w:p>
    <w:p>
      <w:pPr>
        <w:pStyle w:val="Heading3"/>
      </w:pPr>
      <w:r>
        <w:t>Correlations, data quality and sensitivity analyses</w:t>
      </w:r>
    </w:p>
    <w:p>
      <w:pPr>
        <w:jc w:val="left"/>
      </w:pPr>
      <w:r>
        <w:rPr>
          <w:rFonts w:ascii="Times New Roman" w:hAnsi="Times New Roman"/>
          <w:color w:val="000000"/>
        </w:rPr>
        <w:t>Age correlated positively with knowledge (r = 0.314, P = 0.0005) and practice (r = 0.267, P = 0.0032), and knowledge correlated positively with practice (r = 0.317, P = 0.0004). Family size correlated negatively with knowledge (r = -0.201, P = 0.0279). Income measures were not significantly correlated with either score. These secondary analyses were exploratory and were not adjusted for multiplicity.</w:t>
      </w:r>
    </w:p>
    <w:p>
      <w:pPr>
        <w:jc w:val="left"/>
      </w:pPr>
      <w:r>
        <w:rPr>
          <w:rFonts w:ascii="Times New Roman" w:hAnsi="Times New Roman"/>
          <w:color w:val="000000"/>
        </w:rPr>
        <w:t>The transformed 41-variable dataset contained 550 missing cells and six out-of-label categorical responses among 4920 cells. Most missingness occurred in conditional, free-text or derived fields. The core issue-free cell rate was 99.70% after conditional and skip-pattern variables were excluded. Total family size was consistent with the summed male and female family members.</w:t>
      </w:r>
    </w:p>
    <w:p>
      <w:pPr>
        <w:jc w:val="left"/>
      </w:pPr>
      <w:r>
        <w:rPr>
          <w:rFonts w:ascii="Times New Roman" w:hAnsi="Times New Roman"/>
          <w:color w:val="000000"/>
        </w:rPr>
        <w:t>The primary practice result was sensitive to missing-response handling, while the knowledge conclusion remained nonsignificant across the main sensitivity analyses (Table 3). Age also differed across maternal education groups, indicating possible confounding.</w:t>
      </w:r>
    </w:p>
    <w:p>
      <w:pPr>
        <w:jc w:val="left"/>
      </w:pPr>
      <w:r>
        <w:rPr>
          <w:rFonts w:ascii="Times New Roman" w:hAnsi="Times New Roman"/>
          <w:b/>
          <w:color w:val="000000"/>
        </w:rPr>
        <w:t>Table 3. Sensitivity analyses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480" w:lineRule="auto" w:after="0"/>
            </w:pPr>
            <w:r>
              <w:rPr>
                <w:rFonts w:ascii="Times New Roman" w:hAnsi="Times New Roman"/>
                <w:b/>
                <w:color w:val="000000"/>
                <w:sz w:val="24"/>
              </w:rPr>
              <w:t>Analysis</w:t>
            </w:r>
          </w:p>
        </w:tc>
        <w:tc>
          <w:tcPr>
            <w:tcW w:type="dxa" w:w="3120"/>
          </w:tcPr>
          <w:p>
            <w:pPr>
              <w:spacing w:line="480" w:lineRule="auto" w:after="0"/>
            </w:pPr>
            <w:r>
              <w:rPr>
                <w:rFonts w:ascii="Times New Roman" w:hAnsi="Times New Roman"/>
                <w:b/>
                <w:color w:val="000000"/>
                <w:sz w:val="24"/>
              </w:rPr>
              <w:t>Knowledge result</w:t>
            </w:r>
          </w:p>
        </w:tc>
        <w:tc>
          <w:tcPr>
            <w:tcW w:type="dxa" w:w="3120"/>
          </w:tcPr>
          <w:p>
            <w:pPr>
              <w:spacing w:line="480" w:lineRule="auto" w:after="0"/>
            </w:pPr>
            <w:r>
              <w:rPr>
                <w:rFonts w:ascii="Times New Roman" w:hAnsi="Times New Roman"/>
                <w:b/>
                <w:color w:val="000000"/>
                <w:sz w:val="24"/>
              </w:rPr>
              <w:t>Practice result</w:t>
            </w:r>
          </w:p>
        </w:tc>
      </w:tr>
      <w:tr>
        <w:tc>
          <w:tcPr>
            <w:tcW w:type="dxa" w:w="3120"/>
          </w:tcPr>
          <w:p>
            <w:pPr>
              <w:spacing w:line="480" w:lineRule="auto" w:after="0"/>
            </w:pPr>
            <w:r>
              <w:rPr>
                <w:rFonts w:ascii="Times New Roman" w:hAnsi="Times New Roman"/>
                <w:color w:val="000000"/>
                <w:sz w:val="24"/>
              </w:rPr>
              <w:t>Excluded highest education category (n = 1)</w:t>
            </w:r>
          </w:p>
        </w:tc>
        <w:tc>
          <w:tcPr>
            <w:tcW w:type="dxa" w:w="3120"/>
          </w:tcPr>
          <w:p>
            <w:pPr>
              <w:spacing w:line="480" w:lineRule="auto" w:after="0"/>
            </w:pPr>
            <w:r>
              <w:rPr>
                <w:rFonts w:ascii="Times New Roman" w:hAnsi="Times New Roman"/>
                <w:color w:val="000000"/>
                <w:sz w:val="24"/>
              </w:rPr>
              <w:t>H = 6.3719; P = 0.0949; epsilon-squared = 0.0540</w:t>
            </w:r>
          </w:p>
        </w:tc>
        <w:tc>
          <w:tcPr>
            <w:tcW w:type="dxa" w:w="3120"/>
          </w:tcPr>
          <w:p>
            <w:pPr>
              <w:spacing w:line="480" w:lineRule="auto" w:after="0"/>
            </w:pPr>
            <w:r>
              <w:rPr>
                <w:rFonts w:ascii="Times New Roman" w:hAnsi="Times New Roman"/>
                <w:color w:val="000000"/>
                <w:sz w:val="24"/>
              </w:rPr>
              <w:t>H = 9.7515; P = 0.0208; epsilon-squared = 0.0826</w:t>
            </w:r>
          </w:p>
        </w:tc>
      </w:tr>
      <w:tr>
        <w:tc>
          <w:tcPr>
            <w:tcW w:type="dxa" w:w="3120"/>
          </w:tcPr>
          <w:p>
            <w:pPr>
              <w:spacing w:line="480" w:lineRule="auto" w:after="0"/>
            </w:pPr>
            <w:r>
              <w:rPr>
                <w:rFonts w:ascii="Times New Roman" w:hAnsi="Times New Roman"/>
                <w:color w:val="000000"/>
                <w:sz w:val="24"/>
              </w:rPr>
              <w:t>Complete practice responses (n = 115)</w:t>
            </w:r>
          </w:p>
        </w:tc>
        <w:tc>
          <w:tcPr>
            <w:tcW w:type="dxa" w:w="3120"/>
          </w:tcPr>
          <w:p>
            <w:pPr>
              <w:spacing w:line="480" w:lineRule="auto" w:after="0"/>
            </w:pPr>
            <w:r>
              <w:rPr>
                <w:rFonts w:ascii="Times New Roman" w:hAnsi="Times New Roman"/>
                <w:color w:val="000000"/>
                <w:sz w:val="24"/>
              </w:rPr>
              <w:t>Not applicable</w:t>
            </w:r>
          </w:p>
        </w:tc>
        <w:tc>
          <w:tcPr>
            <w:tcW w:type="dxa" w:w="3120"/>
          </w:tcPr>
          <w:p>
            <w:pPr>
              <w:spacing w:line="480" w:lineRule="auto" w:after="0"/>
            </w:pPr>
            <w:r>
              <w:rPr>
                <w:rFonts w:ascii="Times New Roman" w:hAnsi="Times New Roman"/>
                <w:color w:val="000000"/>
                <w:sz w:val="24"/>
              </w:rPr>
              <w:t>H = 8.6488; P = 0.0705; epsilon-squared = 0.0759</w:t>
            </w:r>
          </w:p>
        </w:tc>
      </w:tr>
      <w:tr>
        <w:tc>
          <w:tcPr>
            <w:tcW w:type="dxa" w:w="3120"/>
          </w:tcPr>
          <w:p>
            <w:pPr>
              <w:spacing w:line="480" w:lineRule="auto" w:after="0"/>
            </w:pPr>
            <w:r>
              <w:rPr>
                <w:rFonts w:ascii="Times New Roman" w:hAnsi="Times New Roman"/>
                <w:color w:val="000000"/>
                <w:sz w:val="24"/>
              </w:rPr>
              <w:t>Education treated as ordinal</w:t>
            </w:r>
          </w:p>
        </w:tc>
        <w:tc>
          <w:tcPr>
            <w:tcW w:type="dxa" w:w="3120"/>
          </w:tcPr>
          <w:p>
            <w:pPr>
              <w:spacing w:line="480" w:lineRule="auto" w:after="0"/>
            </w:pPr>
            <w:r>
              <w:rPr>
                <w:rFonts w:ascii="Times New Roman" w:hAnsi="Times New Roman"/>
                <w:color w:val="000000"/>
                <w:sz w:val="24"/>
              </w:rPr>
              <w:t>rho = 0.2023; P = 0.0267</w:t>
            </w:r>
          </w:p>
        </w:tc>
        <w:tc>
          <w:tcPr>
            <w:tcW w:type="dxa" w:w="3120"/>
          </w:tcPr>
          <w:p>
            <w:pPr>
              <w:spacing w:line="480" w:lineRule="auto" w:after="0"/>
            </w:pPr>
            <w:r>
              <w:rPr>
                <w:rFonts w:ascii="Times New Roman" w:hAnsi="Times New Roman"/>
                <w:color w:val="000000"/>
                <w:sz w:val="24"/>
              </w:rPr>
              <w:t>rho = 0.2684; P = 0.0030</w:t>
            </w:r>
          </w:p>
        </w:tc>
      </w:tr>
      <w:tr>
        <w:tc>
          <w:tcPr>
            <w:tcW w:type="dxa" w:w="3120"/>
          </w:tcPr>
          <w:p>
            <w:pPr>
              <w:spacing w:line="480" w:lineRule="auto" w:after="0"/>
            </w:pPr>
            <w:r>
              <w:rPr>
                <w:rFonts w:ascii="Times New Roman" w:hAnsi="Times New Roman"/>
                <w:color w:val="000000"/>
                <w:sz w:val="24"/>
              </w:rPr>
              <w:t>Age compared across education groups</w:t>
            </w:r>
          </w:p>
        </w:tc>
        <w:tc>
          <w:tcPr>
            <w:tcW w:type="dxa" w:w="3120"/>
          </w:tcPr>
          <w:p>
            <w:pPr>
              <w:spacing w:line="480" w:lineRule="auto" w:after="0"/>
            </w:pPr>
            <w:r>
              <w:rPr>
                <w:rFonts w:ascii="Times New Roman" w:hAnsi="Times New Roman"/>
                <w:color w:val="000000"/>
                <w:sz w:val="24"/>
              </w:rPr>
              <w:t>H = 10.6913; P = 0.0303</w:t>
            </w:r>
          </w:p>
        </w:tc>
        <w:tc>
          <w:tcPr>
            <w:tcW w:type="dxa" w:w="3120"/>
          </w:tcPr>
          <w:p>
            <w:pPr>
              <w:spacing w:line="480" w:lineRule="auto" w:after="0"/>
            </w:pPr>
            <w:r>
              <w:rPr>
                <w:rFonts w:ascii="Times New Roman" w:hAnsi="Times New Roman"/>
                <w:color w:val="000000"/>
                <w:sz w:val="24"/>
              </w:rPr>
              <w:t>Possible confounding of practice comparison</w:t>
            </w:r>
          </w:p>
        </w:tc>
      </w:tr>
      <w:tr>
        <w:tc>
          <w:tcPr>
            <w:tcW w:type="dxa" w:w="3120"/>
          </w:tcPr>
          <w:p>
            <w:pPr>
              <w:spacing w:line="480" w:lineRule="auto" w:after="0"/>
            </w:pPr>
            <w:r>
              <w:rPr>
                <w:rFonts w:ascii="Times New Roman" w:hAnsi="Times New Roman"/>
                <w:color w:val="000000"/>
                <w:sz w:val="24"/>
              </w:rPr>
              <w:t>Original disputed knowledge key</w:t>
            </w:r>
          </w:p>
        </w:tc>
        <w:tc>
          <w:tcPr>
            <w:tcW w:type="dxa" w:w="3120"/>
          </w:tcPr>
          <w:p>
            <w:pPr>
              <w:spacing w:line="480" w:lineRule="auto" w:after="0"/>
            </w:pPr>
            <w:r>
              <w:rPr>
                <w:rFonts w:ascii="Times New Roman" w:hAnsi="Times New Roman"/>
                <w:color w:val="000000"/>
                <w:sz w:val="24"/>
              </w:rPr>
              <w:t>Mean 5.82; H = 5.8669; P = 0.2093; epsilon-squared = 0.0493</w:t>
            </w:r>
          </w:p>
        </w:tc>
        <w:tc>
          <w:tcPr>
            <w:tcW w:type="dxa" w:w="3120"/>
          </w:tcPr>
          <w:p>
            <w:pPr>
              <w:spacing w:line="480" w:lineRule="auto" w:after="0"/>
            </w:pPr>
            <w:r>
              <w:rPr>
                <w:rFonts w:ascii="Times New Roman" w:hAnsi="Times New Roman"/>
                <w:color w:val="000000"/>
                <w:sz w:val="24"/>
              </w:rPr>
              <w:t>Not applicable</w:t>
            </w:r>
          </w:p>
        </w:tc>
      </w:tr>
    </w:tbl>
    <w:p/>
    <w:p>
      <w:pPr>
        <w:jc w:val="left"/>
      </w:pPr>
      <w:r>
        <w:rPr>
          <w:rFonts w:ascii="Times New Roman" w:hAnsi="Times New Roman"/>
          <w:i/>
          <w:color w:val="000000"/>
        </w:rPr>
        <w:t>Not applicable indicates that the sensitivity analysis was defined for the other outcome and did not estimate a corresponding result for this outcome.</w:t>
      </w:r>
    </w:p>
    <w:p>
      <w:pPr>
        <w:pStyle w:val="Heading2"/>
      </w:pPr>
      <w:r>
        <w:t>Discussion</w:t>
      </w:r>
    </w:p>
    <w:p>
      <w:pPr>
        <w:jc w:val="left"/>
      </w:pPr>
      <w:r>
        <w:rPr>
          <w:rFonts w:ascii="Times New Roman" w:hAnsi="Times New Roman"/>
          <w:color w:val="000000"/>
        </w:rPr>
        <w:t>Reported practice differed across maternal education groups in the primary unadjusted comparison, whereas knowledge did not. This pattern is compatible with maternal education affecting practical menstrual management through household routines, communication, supervision or access to products. However, the exploratory multiplicity adjustment and complete-response analysis attenuated the practice evidence. Age differed across education groups and was positively associated with both outcomes, so the present bivariate analysis cannot establish an independent maternal education effect.</w:t>
      </w:r>
    </w:p>
    <w:p>
      <w:pPr>
        <w:jc w:val="left"/>
      </w:pPr>
      <w:r>
        <w:rPr>
          <w:rFonts w:ascii="Times New Roman" w:hAnsi="Times New Roman"/>
          <w:color w:val="000000"/>
        </w:rPr>
        <w:t xml:space="preserve">Pakistani studies show substantial contextual variation. In rural Sindh, appropriate menstrual material use was reported by 25% of participants, and no education was associated with inappropriate use </w:t>
      </w:r>
      <w:r>
        <w:rPr>
          <w:rFonts w:ascii="Times New Roman" w:hAnsi="Times New Roman"/>
          <w:i/>
          <w:color w:val="000000"/>
        </w:rPr>
        <w:t>(11)</w:t>
      </w:r>
      <w:r>
        <w:rPr>
          <w:rFonts w:ascii="Times New Roman" w:hAnsi="Times New Roman"/>
          <w:color w:val="000000"/>
        </w:rPr>
        <w:t xml:space="preserve">. Urban-rural differences in Sindh were large for both satisfactory knowledge and good practice </w:t>
      </w:r>
      <w:r>
        <w:rPr>
          <w:rFonts w:ascii="Times New Roman" w:hAnsi="Times New Roman"/>
          <w:i/>
          <w:color w:val="000000"/>
        </w:rPr>
        <w:t>(12)</w:t>
      </w:r>
      <w:r>
        <w:rPr>
          <w:rFonts w:ascii="Times New Roman" w:hAnsi="Times New Roman"/>
          <w:color w:val="000000"/>
        </w:rPr>
        <w:t xml:space="preserve">. Studies from Ghizer and Quetta identified mothers as important information sources but also documented limited premenarcheal awareness and variable product use </w:t>
      </w:r>
      <w:r>
        <w:rPr>
          <w:rFonts w:ascii="Times New Roman" w:hAnsi="Times New Roman"/>
          <w:i/>
          <w:color w:val="000000"/>
        </w:rPr>
        <w:t>(13,14)</w:t>
      </w:r>
      <w:r>
        <w:rPr>
          <w:rFonts w:ascii="Times New Roman" w:hAnsi="Times New Roman"/>
          <w:color w:val="000000"/>
        </w:rPr>
        <w:t xml:space="preserve">. A Lahore study reported a positive knowledge-practice correlation, consistent with the direction observed here </w:t>
      </w:r>
      <w:r>
        <w:rPr>
          <w:rFonts w:ascii="Times New Roman" w:hAnsi="Times New Roman"/>
          <w:i/>
          <w:color w:val="000000"/>
        </w:rPr>
        <w:t>(15)</w:t>
      </w:r>
      <w:r>
        <w:rPr>
          <w:rFonts w:ascii="Times New Roman" w:hAnsi="Times New Roman"/>
          <w:color w:val="000000"/>
        </w:rPr>
        <w:t>.</w:t>
      </w:r>
    </w:p>
    <w:p>
      <w:pPr>
        <w:jc w:val="left"/>
      </w:pPr>
      <w:r>
        <w:rPr>
          <w:rFonts w:ascii="Times New Roman" w:hAnsi="Times New Roman"/>
          <w:color w:val="000000"/>
        </w:rPr>
        <w:t xml:space="preserve">Evidence elsewhere in South Asia also shows that knowledge may not translate directly into practice. In rural India, knowledge that sanitary pads were appropriate was more common than pad use </w:t>
      </w:r>
      <w:r>
        <w:rPr>
          <w:rFonts w:ascii="Times New Roman" w:hAnsi="Times New Roman"/>
          <w:i/>
          <w:color w:val="000000"/>
        </w:rPr>
        <w:t>(16)</w:t>
      </w:r>
      <w:r>
        <w:rPr>
          <w:rFonts w:ascii="Times New Roman" w:hAnsi="Times New Roman"/>
          <w:color w:val="000000"/>
        </w:rPr>
        <w:t xml:space="preserve">, while another Indian study found greater pad use among girls with literate mothers </w:t>
      </w:r>
      <w:r>
        <w:rPr>
          <w:rFonts w:ascii="Times New Roman" w:hAnsi="Times New Roman"/>
          <w:i/>
          <w:color w:val="000000"/>
        </w:rPr>
        <w:t>(17)</w:t>
      </w:r>
      <w:r>
        <w:rPr>
          <w:rFonts w:ascii="Times New Roman" w:hAnsi="Times New Roman"/>
          <w:color w:val="000000"/>
        </w:rPr>
        <w:t xml:space="preserve">. A Nepalese study similarly found that only 40% met its good-practice definition despite generally fair or good knowledge </w:t>
      </w:r>
      <w:r>
        <w:rPr>
          <w:rFonts w:ascii="Times New Roman" w:hAnsi="Times New Roman"/>
          <w:i/>
          <w:color w:val="000000"/>
        </w:rPr>
        <w:t>(18)</w:t>
      </w:r>
      <w:r>
        <w:rPr>
          <w:rFonts w:ascii="Times New Roman" w:hAnsi="Times New Roman"/>
          <w:color w:val="000000"/>
        </w:rPr>
        <w:t xml:space="preserve">. Maternal education findings are inconsistent: one Nepalese study reported lower adjusted odds of good practice among girls with literate mothers but higher odds among girls with literate fathers </w:t>
      </w:r>
      <w:r>
        <w:rPr>
          <w:rFonts w:ascii="Times New Roman" w:hAnsi="Times New Roman"/>
          <w:i/>
          <w:color w:val="000000"/>
        </w:rPr>
        <w:t>(7)</w:t>
      </w:r>
      <w:r>
        <w:rPr>
          <w:rFonts w:ascii="Times New Roman" w:hAnsi="Times New Roman"/>
          <w:color w:val="000000"/>
        </w:rPr>
        <w:t xml:space="preserve">, whereas an Ethiopian study associated maternal secondary education or above with better knowledge and practice </w:t>
      </w:r>
      <w:r>
        <w:rPr>
          <w:rFonts w:ascii="Times New Roman" w:hAnsi="Times New Roman"/>
          <w:i/>
          <w:color w:val="000000"/>
        </w:rPr>
        <w:t>(19)</w:t>
      </w:r>
      <w:r>
        <w:rPr>
          <w:rFonts w:ascii="Times New Roman" w:hAnsi="Times New Roman"/>
          <w:color w:val="000000"/>
        </w:rPr>
        <w:t>. Differences in outcome definitions, education coding, adjustment and social context limit direct comparison.</w:t>
      </w:r>
    </w:p>
    <w:p>
      <w:pPr>
        <w:jc w:val="left"/>
      </w:pPr>
      <w:r>
        <w:rPr>
          <w:rFonts w:ascii="Times New Roman" w:hAnsi="Times New Roman"/>
          <w:color w:val="000000"/>
        </w:rPr>
        <w:t xml:space="preserve">Structural conditions remain important. A school intervention in Bangladesh was followed by improvements in knowledge and practice </w:t>
      </w:r>
      <w:r>
        <w:rPr>
          <w:rFonts w:ascii="Times New Roman" w:hAnsi="Times New Roman"/>
          <w:i/>
          <w:color w:val="000000"/>
        </w:rPr>
        <w:t>(20)</w:t>
      </w:r>
      <w:r>
        <w:rPr>
          <w:rFonts w:ascii="Times New Roman" w:hAnsi="Times New Roman"/>
          <w:color w:val="000000"/>
        </w:rPr>
        <w:t xml:space="preserve">. In another Bangladeshi study, access to girls' toilets was associated with less menstrual-related absence, while menstrual restrictions were associated with more absence </w:t>
      </w:r>
      <w:r>
        <w:rPr>
          <w:rFonts w:ascii="Times New Roman" w:hAnsi="Times New Roman"/>
          <w:i/>
          <w:color w:val="000000"/>
        </w:rPr>
        <w:t>(21)</w:t>
      </w:r>
      <w:r>
        <w:rPr>
          <w:rFonts w:ascii="Times New Roman" w:hAnsi="Times New Roman"/>
          <w:color w:val="000000"/>
        </w:rPr>
        <w:t>. Caregiver engagement should therefore be combined with product access, privacy, sanitation, safe disposal and supportive school environments.</w:t>
      </w:r>
    </w:p>
    <w:p>
      <w:pPr>
        <w:jc w:val="left"/>
      </w:pPr>
      <w:r>
        <w:rPr>
          <w:rFonts w:ascii="Times New Roman" w:hAnsi="Times New Roman"/>
          <w:color w:val="000000"/>
        </w:rPr>
        <w:t>The study included data-quality checks, effect-size reporting and sensitivity analyses. Nevertheless, its limitations are substantial. The cross-sectional design precludes causal inference. Analyses were unadjusted, education groups were severely imbalanced, and the highest category contained one participant. The study-specific questionnaire lacked documented validation, and four score items did not discriminate among responses. Missing or invalid responses were scored zero, and the practice finding changed in the complete-response analysis. The single-school sample and unavailable recruitment denominator limit generalizability. Residual confounding by age, resources and school context is likely.</w:t>
      </w:r>
    </w:p>
    <w:p>
      <w:pPr>
        <w:pStyle w:val="Heading2"/>
      </w:pPr>
      <w:r>
        <w:t>Conclusion</w:t>
      </w:r>
    </w:p>
    <w:p>
      <w:pPr>
        <w:jc w:val="left"/>
      </w:pPr>
      <w:r>
        <w:rPr>
          <w:rFonts w:ascii="Times New Roman" w:hAnsi="Times New Roman"/>
          <w:color w:val="000000"/>
        </w:rPr>
        <w:t>Menstrual hygiene practice differed across maternal education groups in the primary unadjusted analysis, while knowledge did not. The association was attenuated in sensitivity analyses and may be confounded by age. School health programmes should combine accurate information and caregiver engagement with practical support for products, privacy, sanitation and disposal. Larger studies using validated measures, balanced education groups and adjusted models are required.</w:t>
      </w:r>
    </w:p>
    <w:p>
      <w:pPr>
        <w:pStyle w:val="Heading2"/>
      </w:pPr>
      <w:r>
        <w:t>Acknowledgements</w:t>
      </w:r>
    </w:p>
    <w:p>
      <w:pPr>
        <w:jc w:val="left"/>
      </w:pPr>
      <w:r>
        <w:rPr>
          <w:rFonts w:ascii="Times New Roman" w:hAnsi="Times New Roman"/>
          <w:color w:val="000000"/>
        </w:rPr>
        <w:t>The authors acknowledge Dr Naureen Omar for study supervision. The authors should confirm that this acknowledgement is accurate and that the acknowledged contributor has approved being named.</w:t>
      </w:r>
    </w:p>
    <w:p>
      <w:pPr>
        <w:pStyle w:val="Heading2"/>
      </w:pPr>
      <w:r>
        <w:t>Funding</w:t>
      </w:r>
    </w:p>
    <w:p>
      <w:pPr>
        <w:jc w:val="left"/>
      </w:pPr>
      <w:r>
        <w:rPr>
          <w:rFonts w:ascii="Times New Roman" w:hAnsi="Times New Roman"/>
          <w:color w:val="000000"/>
        </w:rPr>
        <w:t>The authors must provide a final funding declaration before submission.</w:t>
      </w:r>
    </w:p>
    <w:p>
      <w:pPr>
        <w:pStyle w:val="Heading2"/>
      </w:pPr>
      <w:r>
        <w:t>Competing interests</w:t>
      </w:r>
    </w:p>
    <w:p>
      <w:pPr>
        <w:jc w:val="left"/>
      </w:pPr>
      <w:r>
        <w:rPr>
          <w:rFonts w:ascii="Times New Roman" w:hAnsi="Times New Roman"/>
          <w:color w:val="000000"/>
        </w:rPr>
        <w:t>The authors must provide a final competing-interests declaration before submission.</w:t>
      </w:r>
    </w:p>
    <w:p>
      <w:pPr>
        <w:pStyle w:val="Heading2"/>
      </w:pPr>
      <w:r>
        <w:t>Data availability</w:t>
      </w:r>
    </w:p>
    <w:p>
      <w:pPr>
        <w:jc w:val="left"/>
      </w:pPr>
      <w:r>
        <w:rPr>
          <w:rFonts w:ascii="Times New Roman" w:hAnsi="Times New Roman"/>
          <w:color w:val="000000"/>
        </w:rPr>
        <w:t>The dataset is not publicly available. Access conditions must be determined by the responsible institution after confirmation of the applicable ethics and consent restrictions.</w:t>
      </w:r>
    </w:p>
    <w:p>
      <w:pPr>
        <w:pStyle w:val="Heading2"/>
      </w:pPr>
      <w:r>
        <w:t>Author contributions</w:t>
      </w:r>
    </w:p>
    <w:p>
      <w:pPr>
        <w:jc w:val="left"/>
      </w:pPr>
      <w:r>
        <w:rPr>
          <w:rFonts w:ascii="Times New Roman" w:hAnsi="Times New Roman"/>
          <w:color w:val="000000"/>
        </w:rPr>
        <w:t>Fatima Sohail and Ayesha Javed conducted the investigation. Muhammad Hamza Adnan's contribution must be specified by the authors before submission. All three authors must review and confirm that they meet all four ICMJE authorship criteria and approve the final manuscript.</w:t>
        <w:br w:type="page"/>
      </w:r>
    </w:p>
    <w:p>
      <w:pPr>
        <w:pStyle w:val="Heading2"/>
      </w:pPr>
      <w:r>
        <w:t>References</w:t>
      </w:r>
    </w:p>
    <w:p>
      <w:pPr>
        <w:pStyle w:val="ListNumber"/>
        <w:jc w:val="left"/>
      </w:pPr>
      <w:r>
        <w:rPr>
          <w:rFonts w:ascii="Times New Roman" w:hAnsi="Times New Roman"/>
          <w:color w:val="000000"/>
        </w:rPr>
        <w:t>World Health Organization. Strengthening the health sector response to adolescent health and development. Geneva: World Health Organization; 2010. https://apps.who.int/iris/bitstream/handle/10665/340531/WHO-FCH-CAH-10-01-eng.pdf?sequence=1&amp;isAllowed=y (accessed 19 March 2026).</w:t>
      </w:r>
    </w:p>
    <w:p>
      <w:pPr>
        <w:pStyle w:val="ListNumber"/>
        <w:jc w:val="left"/>
      </w:pPr>
      <w:r>
        <w:rPr>
          <w:rFonts w:ascii="Times New Roman" w:hAnsi="Times New Roman"/>
          <w:color w:val="000000"/>
        </w:rPr>
        <w:t>World Health Organization. WHO statement on menstrual health and rights. Geneva: World Health Organization; 2022. https://www.who.int/news/item/22-06-2022-who-statement-on-menstrual-health-and-rights (accessed 19 March 2026).</w:t>
      </w:r>
    </w:p>
    <w:p>
      <w:pPr>
        <w:pStyle w:val="ListNumber"/>
        <w:jc w:val="left"/>
      </w:pPr>
      <w:r>
        <w:rPr>
          <w:rFonts w:ascii="Times New Roman" w:hAnsi="Times New Roman"/>
          <w:color w:val="000000"/>
        </w:rPr>
        <w:t>United Nations Educational, Scientific and Cultural Organization. Puberty education and menstrual hygiene management. Paris: UNESCO; 2014. https://unesdoc.unesco.org/ark:/48223/pf0000226792 (accessed 12 July 2026).</w:t>
      </w:r>
    </w:p>
    <w:p>
      <w:pPr>
        <w:pStyle w:val="ListNumber"/>
        <w:jc w:val="left"/>
      </w:pPr>
      <w:r>
        <w:rPr>
          <w:rFonts w:ascii="Times New Roman" w:hAnsi="Times New Roman"/>
          <w:color w:val="000000"/>
        </w:rPr>
        <w:t>Kumbeni MT, Otupiri E, Ziba FA. Menstrual hygiene among adolescent girls in junior high schools in rural Northern Ghana. Pan Afr Med J. 2020;37:190. doi:10.11604/pamj.2020.37.190.19015.</w:t>
      </w:r>
    </w:p>
    <w:p>
      <w:pPr>
        <w:pStyle w:val="ListNumber"/>
        <w:jc w:val="left"/>
      </w:pPr>
      <w:r>
        <w:rPr>
          <w:rFonts w:ascii="Times New Roman" w:hAnsi="Times New Roman"/>
          <w:color w:val="000000"/>
        </w:rPr>
        <w:t>Sahiledengle B, Atlaw D, Kumie A, Tekalegn Y, Woldeyohannes D, Agho KE. Menstrual hygiene practice among adolescent girls in Ethiopia: a systematic review and meta-analysis. PLoS One. 2022;17(1):e0262295. doi:10.1371/journal.pone.0262295.</w:t>
      </w:r>
    </w:p>
    <w:p>
      <w:pPr>
        <w:pStyle w:val="ListNumber"/>
        <w:jc w:val="left"/>
      </w:pPr>
      <w:r>
        <w:rPr>
          <w:rFonts w:ascii="Times New Roman" w:hAnsi="Times New Roman"/>
          <w:color w:val="000000"/>
        </w:rPr>
        <w:t>Belayneh Z, Mekuriaw B. Knowledge and menstrual hygiene practice among adolescent school girls in southern Ethiopia: a cross-sectional study. BMC Public Health. 2019;19(1):1595. doi:10.1186/s12889-019-7973-9.</w:t>
      </w:r>
    </w:p>
    <w:p>
      <w:pPr>
        <w:pStyle w:val="ListNumber"/>
        <w:jc w:val="left"/>
      </w:pPr>
      <w:r>
        <w:rPr>
          <w:rFonts w:ascii="Times New Roman" w:hAnsi="Times New Roman"/>
          <w:color w:val="000000"/>
        </w:rPr>
        <w:t>Bhusal CK. Practice of menstrual hygiene and associated factors among adolescent school girls in Dang District, Nepal. Adv Prev Med. 2020;2020:1292070. doi:10.1155/2020/1292070.</w:t>
      </w:r>
    </w:p>
    <w:p>
      <w:pPr>
        <w:pStyle w:val="ListNumber"/>
        <w:jc w:val="left"/>
      </w:pPr>
      <w:r>
        <w:rPr>
          <w:rFonts w:ascii="Times New Roman" w:hAnsi="Times New Roman"/>
          <w:color w:val="000000"/>
        </w:rPr>
        <w:t>Bhusal CK, Bhattarai S, Kafle R, Shrestha R, Chhetri P, Adhikari K. Level and associated factors of knowledge regarding menstrual hygiene among school-going adolescent girls in Dang District, Nepal. Adv Prev Med. 2020;2020:8872119. doi:10.1155/2020/8872119.</w:t>
      </w:r>
    </w:p>
    <w:p>
      <w:pPr>
        <w:pStyle w:val="ListNumber"/>
        <w:jc w:val="left"/>
      </w:pPr>
      <w:r>
        <w:rPr>
          <w:rFonts w:ascii="Times New Roman" w:hAnsi="Times New Roman"/>
          <w:color w:val="000000"/>
        </w:rPr>
        <w:t>Sonowal P, Talukdar K, Saikia H. Sociodemographic factors and their association with menstrual hygiene practices among adolescent girls in urban slums of Dibrugarh town, Assam. J Family Med Prim Care. 2021;10(12):4446–4451. doi:10.4103/jfmpc.jfmpc_703_21.</w:t>
      </w:r>
    </w:p>
    <w:p>
      <w:pPr>
        <w:pStyle w:val="ListNumber"/>
        <w:jc w:val="left"/>
      </w:pPr>
      <w:r>
        <w:rPr>
          <w:rFonts w:ascii="Times New Roman" w:hAnsi="Times New Roman"/>
          <w:color w:val="000000"/>
        </w:rPr>
        <w:t>Srivastava U, Singh KK. Exploring knowledge and perceptions of school adolescents regarding pubertal changes and reproductive health. Indian J Youth Adolesc Health. 2017;4(1):26–35. doi:10.24321/2349.2880.201705.</w:t>
      </w:r>
    </w:p>
    <w:p>
      <w:pPr>
        <w:pStyle w:val="ListNumber"/>
        <w:jc w:val="left"/>
      </w:pPr>
      <w:r>
        <w:rPr>
          <w:rFonts w:ascii="Times New Roman" w:hAnsi="Times New Roman"/>
          <w:color w:val="000000"/>
        </w:rPr>
        <w:t>Wasan Y, Baxter JAB, Rizvi A, Shaheen F, Junejo Q, Abro MA, et al. Practices and predictors of menstrual hygiene management material use among adolescent and young women in rural Pakistan: a cross-sectional assessment. J Glob Health. 2022;12:04059. doi:10.7189/jogh.12.04059.</w:t>
      </w:r>
    </w:p>
    <w:p>
      <w:pPr>
        <w:pStyle w:val="ListNumber"/>
        <w:jc w:val="left"/>
      </w:pPr>
      <w:r>
        <w:rPr>
          <w:rFonts w:ascii="Times New Roman" w:hAnsi="Times New Roman"/>
          <w:color w:val="000000"/>
        </w:rPr>
        <w:t>Aziz A, Memon S, Aziz F, Memon F, Khowaja BMH, Zafar SN. A comparative study of the knowledge and practices related to menstrual hygiene among adolescent girls in urban and rural areas of Sindh, Pakistan: a cross-sectional study. Womens Health (Lond). 2024;20:17455057241231420. doi:10.1177/17455057241231420.</w:t>
      </w:r>
    </w:p>
    <w:p>
      <w:pPr>
        <w:pStyle w:val="ListNumber"/>
        <w:jc w:val="left"/>
      </w:pPr>
      <w:r>
        <w:rPr>
          <w:rFonts w:ascii="Times New Roman" w:hAnsi="Times New Roman"/>
          <w:color w:val="000000"/>
        </w:rPr>
        <w:t>Shah SF, Punjani NS, Rizvi SN, Sheikh SS, Jan R. Knowledge, attitudes, and practices regarding menstrual hygiene among girls in Ghizer, Gilgit, Pakistan. Int J Environ Res Public Health. 2023;20(14):6424. doi:10.3390/ijerph20146424.</w:t>
      </w:r>
    </w:p>
    <w:p>
      <w:pPr>
        <w:pStyle w:val="ListNumber"/>
        <w:jc w:val="left"/>
      </w:pPr>
      <w:r>
        <w:rPr>
          <w:rFonts w:ascii="Times New Roman" w:hAnsi="Times New Roman"/>
          <w:color w:val="000000"/>
        </w:rPr>
        <w:t>Michael J, Iqbal Q, Haider S, Khalid A, Haque N, Ishaq R, et al. Knowledge and practice of adolescent females about menstruation and menstruation hygiene visiting a public healthcare institute of Quetta, Pakistan. BMC Womens Health. 2020;20(1):4. doi:10.1186/s12905-019-0874-3.</w:t>
      </w:r>
    </w:p>
    <w:p>
      <w:pPr>
        <w:pStyle w:val="ListNumber"/>
        <w:jc w:val="left"/>
      </w:pPr>
      <w:r>
        <w:rPr>
          <w:rFonts w:ascii="Times New Roman" w:hAnsi="Times New Roman"/>
          <w:color w:val="000000"/>
        </w:rPr>
        <w:t>Afzaal SS, Baloch S, Tahir S, Javed H, Saeed A, Pal MHA, et al. Awareness and practices of menstrual hygiene among rural adolescent schoolgirls in Lahore, Pakistan: a cross-sectional study. Cureus. 2024;16(11):e73899. doi:10.7759/cureus.73899.</w:t>
      </w:r>
    </w:p>
    <w:p>
      <w:pPr>
        <w:pStyle w:val="ListNumber"/>
        <w:jc w:val="left"/>
      </w:pPr>
      <w:r>
        <w:rPr>
          <w:rFonts w:ascii="Times New Roman" w:hAnsi="Times New Roman"/>
          <w:color w:val="000000"/>
        </w:rPr>
        <w:t>Dasgupta A, Sarkar M. Menstrual hygiene: how hygienic is the adolescent girl? Indian J Community Med. 2008;33(2):77–80. doi:10.4103/0970-0218.40872.</w:t>
      </w:r>
    </w:p>
    <w:p>
      <w:pPr>
        <w:pStyle w:val="ListNumber"/>
        <w:jc w:val="left"/>
      </w:pPr>
      <w:r>
        <w:rPr>
          <w:rFonts w:ascii="Times New Roman" w:hAnsi="Times New Roman"/>
          <w:color w:val="000000"/>
        </w:rPr>
        <w:t>Kumar A, Kansal S, Singh S. Menstrual hygiene practices in context of schooling: a community study among rural adolescent girls in Varanasi. Indian J Community Med. 2016;41(1):39–44. doi:10.4103/0970-0218.170964.</w:t>
      </w:r>
    </w:p>
    <w:p>
      <w:pPr>
        <w:pStyle w:val="ListNumber"/>
        <w:jc w:val="left"/>
      </w:pPr>
      <w:r>
        <w:rPr>
          <w:rFonts w:ascii="Times New Roman" w:hAnsi="Times New Roman"/>
          <w:color w:val="000000"/>
        </w:rPr>
        <w:t>Yadav RN, Joshi S, Poudel R, Pandeya P. Knowledge, attitude, and practice on menstrual hygiene management among school adolescents. J Nepal Health Res Counc. 2018;15(3):212–216. doi:10.3126/jnhrc.v15i3.18842.</w:t>
      </w:r>
    </w:p>
    <w:p>
      <w:pPr>
        <w:pStyle w:val="ListNumber"/>
        <w:jc w:val="left"/>
      </w:pPr>
      <w:r>
        <w:rPr>
          <w:rFonts w:ascii="Times New Roman" w:hAnsi="Times New Roman"/>
          <w:color w:val="000000"/>
        </w:rPr>
        <w:t>Upashe SP, Tekelab T, Mekonnen J. Assessment of knowledge and practice of menstrual hygiene among high school girls in Western Ethiopia. BMC Womens Health. 2015;15:84. doi:10.1186/s12905-015-0245-7.</w:t>
      </w:r>
    </w:p>
    <w:p>
      <w:pPr>
        <w:pStyle w:val="ListNumber"/>
        <w:jc w:val="left"/>
      </w:pPr>
      <w:r>
        <w:rPr>
          <w:rFonts w:ascii="Times New Roman" w:hAnsi="Times New Roman"/>
          <w:color w:val="000000"/>
        </w:rPr>
        <w:t>Haque SE, Rahman M, Kawashima I, Mutahara M, Sakisaka K. The effect of a school-based educational intervention on menstrual health: an intervention study among adolescent girls in Bangladesh. BMJ Open. 2014;4(7):e004607. doi:10.1136/bmjopen-2013-004607.</w:t>
      </w:r>
    </w:p>
    <w:p>
      <w:pPr>
        <w:pStyle w:val="ListNumber"/>
        <w:jc w:val="left"/>
      </w:pPr>
      <w:r>
        <w:rPr>
          <w:rFonts w:ascii="Times New Roman" w:hAnsi="Times New Roman"/>
          <w:color w:val="000000"/>
        </w:rPr>
        <w:t>Alam MU, Luby SP, Halder AK, Islam K, Opel A, Shoab AK, et al. Menstrual hygiene management among Bangladeshi adolescent schoolgirls and risk factors affecting school absence: results from a cross-sectional survey. BMJ Open. 2017;7(7):e015508. doi:10.1136/bmjopen-2016-015508.</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line="480" w:lineRule="auto"/>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