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Association Between Maternal Education and Menstrual Hygiene Knowledge and Practices Among Adolescent Girls: A School-Based Cross-Sectional Study in Lahore, Pakistan</w:t>
      </w:r>
    </w:p>
    <w:p>
      <w:pPr>
        <w:jc w:val="left"/>
      </w:pPr>
      <w:r>
        <w:rPr>
          <w:rFonts w:ascii="Times New Roman" w:hAnsi="Times New Roman"/>
          <w:b/>
          <w:color w:val="000000"/>
        </w:rPr>
        <w:t>Authors:</w:t>
      </w:r>
      <w:r>
        <w:rPr>
          <w:rFonts w:ascii="Times New Roman" w:hAnsi="Times New Roman"/>
          <w:color w:val="000000"/>
        </w:rPr>
        <w:t xml:space="preserve"> Dr Ayesha Javed; Dr Fatima Sohail</w:t>
      </w:r>
    </w:p>
    <w:p>
      <w:pPr>
        <w:jc w:val="left"/>
      </w:pPr>
      <w:r>
        <w:rPr>
          <w:rFonts w:ascii="Times New Roman" w:hAnsi="Times New Roman"/>
          <w:b/>
          <w:color w:val="000000"/>
        </w:rPr>
        <w:t>Study supervisor:</w:t>
      </w:r>
      <w:r>
        <w:rPr>
          <w:rFonts w:ascii="Times New Roman" w:hAnsi="Times New Roman"/>
          <w:color w:val="000000"/>
        </w:rPr>
        <w:t xml:space="preserve"> Dr Naureen Omar</w:t>
      </w:r>
    </w:p>
    <w:p>
      <w:pPr>
        <w:pStyle w:val="Heading2"/>
      </w:pPr>
      <w:r>
        <w:t>Abstract</w:t>
      </w:r>
    </w:p>
    <w:p>
      <w:pPr>
        <w:jc w:val="left"/>
      </w:pPr>
      <w:r>
        <w:rPr>
          <w:rFonts w:ascii="Times New Roman" w:hAnsi="Times New Roman"/>
          <w:color w:val="000000"/>
        </w:rPr>
        <w:t>Evidence linking maternal education with adolescent menstrual hygiene in sub-urban Pakistan is limited. A school-based cross-sectional study of 120 girls in Lahore assessed knowledge (0-9) and practice (0-7). Missing questionnaire responses were scored zero. Kruskal-Wallis tests, effect sizes, correlations, and sensitivity analyses were used. Mean age was 14.47 years, mean knowledge was 6.65/9 (SD 1.22), and mean practice was 5.68/7 (SD 0.58). Practice differed significantly across maternal education groups in the primary unadjusted analysis (H = 10.1562, p = 0.0379, epsilon-squared = 0.0853), while knowledge did not (H = 8.0427, p = 0.0900, epsilon-squared = 0.0676). The exploratory Holm-adjusted practice p-value was 0.0758. Age correlated with knowledge (r = 0.314, p = 0.0005), and knowledge correlated with practice (r = 0.317, p = 0.0004). Complete-response practice analysis produced H = 8.6488 and p = 0.0705. Maternal education was associated with practice in the primary unadjusted analysis, but sensitivity to missing-response handling, imbalanced groups, and possible age confounding limits inference.</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formative period for health attitudes and behaviors. Menstrual health is integral to adolescent well-being because girls must manage menarche, menstrual cycles, hygiene, and stigma, often without adequate information or material support. World Health Organization and UNESCO guidance frames menstrual health as a health, education, rights, and gender-equity issue requiring suitable materials, knowledge, supportive norms, and safe sanitation [1-3].</w:t>
      </w:r>
    </w:p>
    <w:p>
      <w:pPr>
        <w:jc w:val="left"/>
      </w:pPr>
      <w:r>
        <w:rPr>
          <w:rFonts w:ascii="Times New Roman" w:hAnsi="Times New Roman"/>
          <w:color w:val="000000"/>
        </w:rPr>
        <w:t>In low- and middle-income settings, menstrual hygiene management may be constrained by silence, cultural taboos, limited privacy, and inadequate absorbents or disposal facilities. Girls may reach menarche unprepared and depend on informal or incomplete information, potentially impairing hygiene, causing discomfort and embarrassment, and limiting school and social participation. Studies from Ghana, Ethiopia, Nepal, India, and related settings associate menstrual knowledge and practice with parental education, information access, and socioeconomic conditions [4-10].</w:t>
      </w:r>
    </w:p>
    <w:p>
      <w:pPr>
        <w:jc w:val="left"/>
      </w:pPr>
      <w:r>
        <w:rPr>
          <w:rFonts w:ascii="Times New Roman" w:hAnsi="Times New Roman"/>
          <w:color w:val="000000"/>
        </w:rPr>
        <w:t>These relationships are particularly relevant in sub-urban Pakistan, where educational attainment, household resources, and social norms vary. Maternal education may influence daughters through communication, supervision, modeled routines, and access to menstrual products. However, it may produce limited differences in formal knowledge when peers, media, or schools also provide information. This study assessed menstrual hygiene knowledge and practices among adolescent girls in a sub-urban area of Lahore and compared outcomes across maternal education categories.</w:t>
      </w:r>
    </w:p>
    <w:p>
      <w:pPr>
        <w:pStyle w:val="Heading2"/>
      </w:pPr>
      <w:r>
        <w:t>2. Rationale and Objectives</w:t>
      </w:r>
    </w:p>
    <w:p>
      <w:pPr>
        <w:jc w:val="left"/>
      </w:pPr>
      <w:r>
        <w:rPr>
          <w:rFonts w:ascii="Times New Roman" w:hAnsi="Times New Roman"/>
          <w:color w:val="000000"/>
        </w:rPr>
        <w:t>The study examined whether maternal education was associated more strongly with menstrual knowledge or behavior, recognizing that awareness may not improve practice when household circumstances, product access, or sanitation impose constraints. The primary objectives were to assess knowledge and practice scores and compare them by maternal education. Secondary objectives were to describe demographic and household economic characteristics and explore correlations among age, income, family size, and menstrual hygiene scores.</w:t>
      </w:r>
    </w:p>
    <w:p>
      <w:pPr>
        <w:pStyle w:val="Heading2"/>
      </w:pPr>
      <w:r>
        <w:t>3. Methods</w:t>
      </w:r>
    </w:p>
    <w:p>
      <w:pPr>
        <w:pStyle w:val="Heading3"/>
      </w:pPr>
      <w:r>
        <w:t>3.1 Study design, setting, and study synopsis</w:t>
      </w:r>
    </w:p>
    <w:p>
      <w:pPr>
        <w:jc w:val="left"/>
      </w:pPr>
      <w:r>
        <w:rPr>
          <w:rFonts w:ascii="Times New Roman" w:hAnsi="Times New Roman"/>
          <w:color w:val="000000"/>
        </w:rPr>
        <w:t>This cross-sectional school-based questionnaire study used the finalized survey dataset from Reach School on Sau Asal Road, Lahore. The original study synopsis specified a nine-month study period from March to December 2024, school-based recruitment, a structured questionnaire administered by the primary investigators, and interviews lasting approximately 15-20 minutes.</w:t>
      </w:r>
    </w:p>
    <w:p>
      <w:pPr>
        <w:pStyle w:val="Heading3"/>
      </w:pPr>
      <w:r>
        <w:t>3.2 Participant selection and analytic sample</w:t>
      </w:r>
    </w:p>
    <w:p>
      <w:pPr>
        <w:jc w:val="left"/>
      </w:pPr>
      <w:r>
        <w:rPr>
          <w:rFonts w:ascii="Times New Roman" w:hAnsi="Times New Roman"/>
          <w:color w:val="000000"/>
        </w:rPr>
        <w:t>The study synopsis included adolescent girls with parental consent and excluded students without parental consent or willingness to participate. It described simple random sampling by lottery from a list of eligible female students. The SPSS file contained 120 nonblank participant records and 40 fully blank trailing rows. The blank rows were file artifacts rather than excluded participants. No recruitment denominator, response rate, or prospective sample-size calculation was documented; all 120 nonblank records were analyzed.</w:t>
      </w:r>
    </w:p>
    <w:p>
      <w:pPr>
        <w:pStyle w:val="Heading3"/>
      </w:pPr>
      <w:r>
        <w:t>3.3 Study variables</w:t>
      </w:r>
    </w:p>
    <w:p>
      <w:pPr>
        <w:jc w:val="left"/>
      </w:pPr>
      <w:r>
        <w:rPr>
          <w:rFonts w:ascii="Times New Roman" w:hAnsi="Times New Roman"/>
          <w:color w:val="000000"/>
        </w:rPr>
        <w:t>The outcomes were bounded discrete menstrual hygiene knowledge (0-9) and practice (0-7) scores. Maternal education was coded from SPSS metadata as 1 = Illiterate, 2 = Primary, 3 = Middle, 4 = Secondary, and 5 = Intermediate and above. Other descriptive and exploratory variables were age, paternal education, maternal and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was calculated from Section III questionnaire items using the prespecified scoring key, with one correction based on the variable labels and biological validity. The key awarded the menstruation-process point to code 2, although SPSS metadata labeled code 1 as physiological/natural and code 2 as pathological/disease. The primary analysis awarded the point to code 1 because menstruation is physiological; the original coding was examined in a sensitivity analysis. Practice was calculated from Section IV using the prespecified scoring key. Missing or out-of-label questionnaire responses received zero. Four scored items awarded one point to every listed response: the absorbent and change-frequency items in both knowledge and practice. They contributed to totals but did not discriminate among participants. Per-capita income equaled monthly household income divided by total family members and was treated as missing when income or family size was unavailable or family size was zero.</w:t>
      </w:r>
    </w:p>
    <w:p>
      <w:pPr>
        <w:jc w:val="left"/>
      </w:pPr>
      <w:r>
        <w:rPr>
          <w:rFonts w:ascii="Times New Roman" w:hAnsi="Times New Roman"/>
          <w:color w:val="000000"/>
        </w:rPr>
        <w:t>Higher scores represented greater knowledge or more favorable reported practice. The questionnaire was study-specific; documentation of prior validation, reliability testing, language adaptation, or pilot testing was not available.</w:t>
      </w:r>
    </w:p>
    <w:p>
      <w:pPr>
        <w:pStyle w:val="Heading3"/>
      </w:pPr>
      <w:r>
        <w:t>3.5 Data quality procedures</w:t>
      </w:r>
    </w:p>
    <w:p>
      <w:pPr>
        <w:jc w:val="left"/>
      </w:pPr>
      <w:r>
        <w:rPr>
          <w:rFonts w:ascii="Times New Roman" w:hAnsi="Times New Roman"/>
          <w:color w:val="000000"/>
        </w:rPr>
        <w:t>Before analysis, missing values and categorical responses outside the SPSS value domains were identified. Conditional follow-up questions were distinguished from core variables so that expected skip-pattern missingness was not classified as poor data capture. Reported total family size was compared with the sum of male and female family members.</w:t>
      </w:r>
    </w:p>
    <w:p>
      <w:pPr>
        <w:pStyle w:val="Heading3"/>
      </w:pPr>
      <w:r>
        <w:t>3.6 Statistical analysis</w:t>
      </w:r>
    </w:p>
    <w:p>
      <w:pPr>
        <w:jc w:val="left"/>
      </w:pPr>
      <w:r>
        <w:rPr>
          <w:rFonts w:ascii="Times New Roman" w:hAnsi="Times New Roman"/>
          <w:color w:val="000000"/>
        </w:rPr>
        <w:t>All tests were two-sided with a 0.05 significance threshold. Categorical variables were summarized as counts and percentages; continuous variables were summarized using means, medians, standard deviations, minima, maxima, and quartiles. Within-group normality was assessed by Shapiro-Wilk tests when group size permitted, variance homogeneity by Levene's test when feasible, and small groups were identified. Because knowledge and practice were bounded, discrete, and distributed across markedly imbalanced education groups, primary comparisons used Kruskal-Wallis tests with epsilon-squared effect sizes. Unadjusted p-values were reported for the principal comparisons. Because the protocol did not identify one inferential outcome as primary, a conservative exploratory Holm correction was also examined as a sensitivity analysis.</w:t>
      </w:r>
    </w:p>
    <w:p>
      <w:pPr>
        <w:jc w:val="left"/>
      </w:pPr>
      <w:r>
        <w:rPr>
          <w:rFonts w:ascii="Times New Roman" w:hAnsi="Times New Roman"/>
          <w:color w:val="000000"/>
        </w:rPr>
        <w:t>Analyses were conducted in Python 3.12.7 using pandas 2.2.2, NumPy 1.26.4, and SciPy 1.13.1. Kruskal-Wallis p-values were asymptotic, and epsilon-squared was calculated as H/(n-1).</w:t>
      </w:r>
    </w:p>
    <w:p>
      <w:pPr>
        <w:jc w:val="left"/>
      </w:pPr>
      <w:r>
        <w:rPr>
          <w:rFonts w:ascii="Times New Roman" w:hAnsi="Times New Roman"/>
          <w:color w:val="000000"/>
        </w:rPr>
        <w:t>Pearson complete-case correlations assessed linear relationships among age, income, family size, per-capita income, knowledge, practice, and total score. These secondary analyses were exploratory and unadjusted for multiplicity. Spearman correlations examined sensitivity to strongly right-skewed, outlier-prone income. Further sensitivity analyses excluded the highest maternal education category, treated maternal education as ordinal, tested age differences across education groups, restricted practice analysis to complete responses, and applied the original scoring for the disputed knowledge item.</w:t>
      </w:r>
    </w:p>
    <w:p>
      <w:pPr>
        <w:pStyle w:val="Heading3"/>
      </w:pPr>
      <w:r>
        <w:t>3.7 Ethical considerations</w:t>
      </w:r>
    </w:p>
    <w:p>
      <w:pPr>
        <w:jc w:val="left"/>
      </w:pPr>
      <w:r>
        <w:rPr>
          <w:rFonts w:ascii="Times New Roman" w:hAnsi="Times New Roman"/>
          <w:color w:val="000000"/>
        </w:rPr>
        <w:t>Ethics approval and parental consent documentation could not be verified. The manuscript must not be submitted until the approving institution, approval identifier, and menstrual-hygiene-specific consent process are confirmed.</w:t>
      </w:r>
    </w:p>
    <w:p>
      <w:pPr>
        <w:pStyle w:val="Heading2"/>
      </w:pPr>
      <w:r>
        <w:t>4. Results</w:t>
      </w:r>
    </w:p>
    <w:p>
      <w:pPr>
        <w:pStyle w:val="Heading3"/>
      </w:pPr>
      <w:r>
        <w:t>4.1 Analytic sample</w:t>
      </w:r>
    </w:p>
    <w:p>
      <w:pPr>
        <w:jc w:val="left"/>
      </w:pPr>
      <w:r>
        <w:rPr>
          <w:rFonts w:ascii="Times New Roman" w:hAnsi="Times New Roman"/>
          <w:color w:val="000000"/>
        </w:rPr>
        <w:t>The analysis included 120 nonblank participant records. The 40 fully blank trailing rows contained no participant data and were not counted as recruited or excluded participants. Recruitment and response-rate denominators were unavailable.</w:t>
      </w:r>
    </w:p>
    <w:p>
      <w:pPr>
        <w:pStyle w:val="Heading3"/>
      </w:pPr>
      <w:r>
        <w:t>4.2 Demographic and household characteristics</w:t>
      </w:r>
    </w:p>
    <w:p>
      <w:pPr>
        <w:jc w:val="left"/>
      </w:pPr>
      <w:r>
        <w:rPr>
          <w:rFonts w:ascii="Times New Roman" w:hAnsi="Times New Roman"/>
          <w:color w:val="000000"/>
        </w:rPr>
        <w:t>Mean age was 14.47 years (SD 1.40; range 12-18). Monthly household income was widely dispersed (mean 48,833.33; maximum 600,000), indicating substantial right-skewness. Mean family size was 6.66 and mean per-capita income was 8,648.83. Maternal education was predominantly illiterate (71.7%) or primary (14.2%); only one participant was in the Intermediate-and-above category (Table 1).</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(mean 6.65; median 7.00), and practice scores from 4 to 7 (mean 5.68; median 6.00). Practice was more tightly clustered. The modal knowledge score was 7 (37.5%), and the modal practice score was 6 (71.7%) (Table 2; Figure 1).</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pStyle w:val="Heading3"/>
      </w:pPr>
      <w:r>
        <w:t>4.4 Scores by maternal education</w:t>
      </w:r>
    </w:p>
    <w:p>
      <w:pPr>
        <w:jc w:val="left"/>
      </w:pPr>
      <w:r>
        <w:rPr>
          <w:rFonts w:ascii="Times New Roman" w:hAnsi="Times New Roman"/>
          <w:color w:val="000000"/>
        </w:rPr>
        <w:t>Mean scores increased modestly across some education categories, but the severe group imbalance, including one participant in the highest category, limited interpretation. Mean knowledge ranged from 6.53 in the illiterate and primary groups to 8.00 in the Intermediate-and-above group; mean practice ranged from 5.59 in the illiterate group to 6.12 in the secondary group (Table 3; Figures 2 and 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(single value)</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(single value)</w:t>
            </w:r>
          </w:p>
        </w:tc>
      </w:tr>
    </w:tbl>
    <w:p/>
    <w:p>
      <w:pPr>
        <w:pStyle w:val="Heading3"/>
      </w:pPr>
      <w:r>
        <w:t>4.5 Inferential analysis for maternal education</w:t>
      </w:r>
    </w:p>
    <w:p>
      <w:pPr>
        <w:jc w:val="left"/>
      </w:pPr>
      <w:r>
        <w:rPr>
          <w:rFonts w:ascii="Times New Roman" w:hAnsi="Times New Roman"/>
          <w:color w:val="000000"/>
        </w:rPr>
        <w:t>Assumption checks did not support parametric comparisons. Practice scores differed significantly across maternal education groups in the primary unadjusted comparison (H = 10.1562, p = 0.0379, epsilon-squared = 0.0853). The omnibus knowledge comparison was not significant (H = 8.0427, p = 0.0900, epsilon-squared = 0.0676). A conservative exploratory Holm sensitivity correction gave an adjusted practice p-value of 0.0758. A significant result for one outcome and a non-significant result for another does not establish that their associations differ (Table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Pearson complete-case correlations were positive for age with knowledge (r = 0.314, p = 0.0005), age with practice (r = 0.267, p = 0.0032), and knowledge with practice (r = 0.317, p = 0.0004). Family size correlated negatively with knowledge (r = -0.201, p = 0.0279). Household and per-capita income were not significantly correlated with either score. These secondary analyses were exploratory because multiple correlations were tested without adjustment. Total-score correlations were not interpreted because total score is mathematically derived from knowledge and practice (Table 5; Figure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pStyle w:val="Heading3"/>
      </w:pPr>
      <w:r>
        <w:t>4.7 Data quality and sensitivity analyses</w:t>
      </w:r>
    </w:p>
    <w:p>
      <w:pPr>
        <w:jc w:val="left"/>
      </w:pPr>
      <w:r>
        <w:rPr>
          <w:rFonts w:ascii="Times New Roman" w:hAnsi="Times New Roman"/>
          <w:color w:val="000000"/>
        </w:rPr>
        <w:t>The transformed 41-column dataset contained 550 missing cells and six out-of-label categorical responses among 4,920 cells, yielding 88.70% overall issue-free cell rate. This denominator included optional free-text and five derived fields. Invalid values were three maternal-occupation codes of 3, two menstruation-process codes of 5, and one handwashing code of 3. Core issue-free cell rate was 99.70% after conditional and skip-logic variables were excluded. No inconsistency was found between total family size and summed male and female family members.</w:t>
      </w:r>
    </w:p>
    <w:p>
      <w:pPr>
        <w:jc w:val="left"/>
      </w:pPr>
      <w:r>
        <w:rPr>
          <w:rFonts w:ascii="Times New Roman" w:hAnsi="Times New Roman"/>
          <w:color w:val="000000"/>
        </w:rPr>
        <w:t>Excluding the sole participant in maternal education category 5 left knowledge non-significant (H = 6.3719, p = 0.0949, epsilon-squared = 0.0540), while unadjusted practice remained below 0.05 (H = 9.7515, p = 0.0208, epsilon-squared = 0.0826). Restriction to 115 participants with complete responses on all seven practice items produced H = 8.6488, p = 0.0705, and epsilon-squared = 0.0759, indicating that the statistically significant primary practice result was sensitive to the prespecified missing-as-zero rule. Ordinal education correlated positively with knowledge (rho = 0.2023, p = 0.0267) and practice (rho = 0.2684, p = 0.0030), but these exploratory trends were not multiplicity-adjusted. Age differed among education groups (H = 10.6913, p = 0.0303), leaving plausible confounding.</w:t>
      </w:r>
    </w:p>
    <w:p>
      <w:pPr>
        <w:jc w:val="left"/>
      </w:pPr>
      <w:r>
        <w:rPr>
          <w:rFonts w:ascii="Times New Roman" w:hAnsi="Times New Roman"/>
          <w:color w:val="000000"/>
        </w:rPr>
        <w:t>Spearman analyses retained positive associations between age and knowledge (rho = 0.3710, p &lt; 0.001) and between knowledge and practice (rho = 0.3650, p &lt; 0.001). Unlike Pearson analysis, Spearman analysis showed a weak positive income-knowledge association (rho = 0.2160, p = 0.0178); income-practice remained non-significant (rho = 0.0544, p = 0.5550). Using the original pathological-response key yielded a mean knowledge score of 5.82 and a non-significant omnibus comparison (H = 5.8669, p = 0.2093, epsilon-squared = 0.0493) (Table 6).</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Original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Practice scores differed significantly across maternal education groups in the primary unadjusted analysis; the knowledge comparison was not significant. This suggests a possible association between maternal education and reported menstrual hygiene practice in the observed sample. Conservative multiplicity and complete-response sensitivity analyses attenuated the evidence. No formal test compared the strengths of the knowledge and practice associations. Household routines, product access, supervision, and age may contribute, but this unadjusted analysis cannot distinguish their effects.</w:t>
      </w:r>
    </w:p>
    <w:p>
      <w:pPr>
        <w:jc w:val="left"/>
      </w:pPr>
      <w:r>
        <w:rPr>
          <w:rFonts w:ascii="Times New Roman" w:hAnsi="Times New Roman"/>
          <w:color w:val="000000"/>
        </w:rPr>
        <w:t>The positive age-knowledge correlation is compatible with greater menstrual experience and accumulated information among older adolescents. Knowledge also correlated positively with practice, but not strongly enough to imply automatic behavioral translation. Structural barriers, stigma, and limited access may modify this relationship.</w:t>
      </w:r>
    </w:p>
    <w:p>
      <w:pPr>
        <w:pStyle w:val="Heading3"/>
      </w:pPr>
      <w:r>
        <w:t>6.1 Comparison with published studies</w:t>
      </w:r>
    </w:p>
    <w:p>
      <w:pPr>
        <w:jc w:val="left"/>
      </w:pPr>
      <w:r>
        <w:rPr>
          <w:rFonts w:ascii="Times New Roman" w:hAnsi="Times New Roman"/>
          <w:color w:val="000000"/>
        </w:rPr>
        <w:t>Published Pakistani studies show marked contextual variation. In rural Sindh, only 25% of 25,305 participants used appropriate menstrual materials, and no education was associated with inappropriate use compared with higher secondary or university education (OR 3.90, 95% CI 3.36-4.52) [11]. In Khairpur, satisfactory knowledge was reported by 69.8% of urban and 38.4% of rural participants, while good practice was reported by 71.1% and 11.9%, respectively [12]. Mothers were prominent information sources in Ghizer and Quetta, where limited premenarcheal awareness and school-based education coexisted with variable product use [13,14]. The positive knowledge-practice correlation reported in Lahore (r = 0.649, p &lt; 0.001) agrees with the direction observed here [15], but these Pakistani studies did not establish an independent effect of maternal education.</w:t>
      </w:r>
    </w:p>
    <w:p>
      <w:pPr>
        <w:jc w:val="left"/>
      </w:pPr>
      <w:r>
        <w:rPr>
          <w:rFonts w:ascii="Times New Roman" w:hAnsi="Times New Roman"/>
          <w:color w:val="000000"/>
        </w:rPr>
        <w:t>Other South Asian evidence confirms that knowledge and practice may diverge. In rural India, 48.75% knew that pads were appropriate but only 11.25% used them [16]. Kumar et al. found greater pad use among girls with literate mothers than among those with illiterate mothers (62% versus 13%) [17]. In Nepal, most participants in the Yadav study had fair or good knowledge, but only 40% met its good-practice definition [18].</w:t>
      </w:r>
    </w:p>
    <w:p>
      <w:pPr>
        <w:jc w:val="left"/>
      </w:pPr>
      <w:r>
        <w:rPr>
          <w:rFonts w:ascii="Times New Roman" w:hAnsi="Times New Roman"/>
          <w:color w:val="000000"/>
        </w:rPr>
        <w:t>Maternal-education findings are inconsistent. Bhusal reported lower adjusted odds of good practice among Nepalese girls with literate mothers (AOR 0.52, 95% CI 0.30-0.89) but higher odds among those with literate fathers (AOR 2.55, 95% CI 1.26-5.15) [7]. Upashe et al. instead found that maternal secondary or higher education predicted good knowledge (AOR 1.51, 95% CI 1.02-2.22) and good practice (AOR 2.03, 95% CI 1.38-2.97) [21]. Differences in definitions, age ranges, education coding, adjustment, and context preclude direct numerical comparison [7,17,21].</w:t>
      </w:r>
    </w:p>
    <w:p>
      <w:pPr>
        <w:jc w:val="left"/>
      </w:pPr>
      <w:r>
        <w:rPr>
          <w:rFonts w:ascii="Times New Roman" w:hAnsi="Times New Roman"/>
          <w:color w:val="000000"/>
        </w:rPr>
        <w:t>Structural conditions also matter. Following an uncontrolled school intervention in Bangladesh, high knowledge increased from 51.0% to 82.4% and good practice from 28.8% to 88.9% [19]. Access to girls' toilets was associated with less menstrual-related absence in another Bangladeshi study (adjusted prevalence difference -5.4 percentage points, 95% CI -10.0 to -1.6), whereas restrictions were associated with greater absence [20]. Product access, household resources, privacy, sanitation, school facilities, communication, and social restrictions may therefore mediate associations between education and menstrual hygiene [11-15,20].</w:t>
      </w:r>
    </w:p>
    <w:p>
      <w:pPr>
        <w:jc w:val="left"/>
      </w:pPr>
      <w:r>
        <w:rPr>
          <w:rFonts w:ascii="Times New Roman" w:hAnsi="Times New Roman"/>
          <w:color w:val="000000"/>
        </w:rPr>
        <w:t>Strengths include assessment of data completeness and coding, checks of statistical assumptions, effect-size reporting, and sensitivity analyses addressing the smallest education group, missing practice responses, alternative scoring, and rank-based correlations.</w:t>
      </w:r>
    </w:p>
    <w:p>
      <w:pPr>
        <w:jc w:val="left"/>
      </w:pPr>
      <w:r>
        <w:rPr>
          <w:rFonts w:ascii="Times New Roman" w:hAnsi="Times New Roman"/>
          <w:color w:val="000000"/>
        </w:rPr>
        <w:t>Limitations are substantial. The cross-sectional design permits association, not causation. Analyses were unadjusted and bivariate; age differed across maternal education groups, and school context, product access, and family factors were uncontrolled. The statistically significant unadjusted practice result was attenuated by the exploratory Holm and complete-response sensitivity analyses. Education groups were severely imbalanced, particularly the highest category, limiting precision; the omnibus test did not identify differing groups. Scoring missing or invalid responses as zero may have lowered scores when non-response did not indicate poor knowledge or practice. Four items were nondiscriminating because every listed response received one point, limiting construct validity and inflating the apparent proportion of the maximum. One knowledge item required correction because the original scoring key contradicted the biological meaning of its labels, and six responses fell outside SPSS value-label domains. Secondary correlations and ordinal trends were exploratory and unadjusted for multiplicity. The single-school sample may not generalize to other adolescents in Lahore or Pakistan.</w:t>
      </w:r>
    </w:p>
    <w:p>
      <w:pPr>
        <w:jc w:val="left"/>
      </w:pPr>
      <w:r>
        <w:rPr>
          <w:rFonts w:ascii="Times New Roman" w:hAnsi="Times New Roman"/>
          <w:color w:val="000000"/>
        </w:rPr>
        <w:t>Interventions in similar settings should address behavior, caregiver engagement, product access, privacy, and safe disposal rather than factual information alone. Larger, balanced samples, adjusted multivariable models, and prospective or mixed-methods designs are needed to clarify how maternal education relates to menstrual hygiene behavior.</w:t>
      </w:r>
    </w:p>
    <w:p>
      <w:pPr>
        <w:pStyle w:val="Heading2"/>
      </w:pPr>
      <w:r>
        <w:t>7. Conclusion</w:t>
      </w:r>
    </w:p>
    <w:p>
      <w:pPr>
        <w:jc w:val="left"/>
      </w:pPr>
      <w:r>
        <w:rPr>
          <w:rFonts w:ascii="Times New Roman" w:hAnsi="Times New Roman"/>
          <w:color w:val="000000"/>
        </w:rPr>
        <w:t>In this sub-urban Lahore sample, practice scores differed significantly across maternal education groups, while the omnibus knowledge comparison did not. Age was positively associated with knowledge and practice, and knowledge was positively associated with practice. These findings support a relationship between maternal education and menstrual hygiene behavior, although sensitivity analyses and possible age confounding indicate that its independent contribution requires confirmation. Larger studies with validated scoring, balanced education groups, documented ethics procedures, and adjusted models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Ethics approval and parental consent documentation could not be verified. The approving institution, approval identifier, and study-specific consent process must be confirmed before submission.</w:t>
      </w:r>
    </w:p>
    <w:p>
      <w:pPr>
        <w:pStyle w:val="Heading3"/>
      </w:pPr>
      <w:r>
        <w:t>Funding</w:t>
      </w:r>
    </w:p>
    <w:p>
      <w:pPr>
        <w:jc w:val="left"/>
      </w:pPr>
      <w:r>
        <w:rPr>
          <w:rFonts w:ascii="Times New Roman" w:hAnsi="Times New Roman"/>
          <w:color w:val="000000"/>
        </w:rPr>
        <w:t>The authors must provide a final funding declaration before submission.</w:t>
      </w:r>
    </w:p>
    <w:p>
      <w:pPr>
        <w:pStyle w:val="Heading3"/>
      </w:pPr>
      <w:r>
        <w:t>Competing interests</w:t>
      </w:r>
    </w:p>
    <w:p>
      <w:pPr>
        <w:jc w:val="left"/>
      </w:pPr>
      <w:r>
        <w:rPr>
          <w:rFonts w:ascii="Times New Roman" w:hAnsi="Times New Roman"/>
          <w:color w:val="000000"/>
        </w:rPr>
        <w:t>The authors must provide a final competing-interests declaration before submission.</w:t>
      </w:r>
    </w:p>
    <w:p>
      <w:pPr>
        <w:pStyle w:val="Heading3"/>
      </w:pPr>
      <w:r>
        <w:t>Data and materials availability</w:t>
      </w:r>
    </w:p>
    <w:p>
      <w:pPr>
        <w:jc w:val="left"/>
      </w:pPr>
      <w:r>
        <w:rPr>
          <w:rFonts w:ascii="Times New Roman" w:hAnsi="Times New Roman"/>
          <w:color w:val="000000"/>
        </w:rPr>
        <w:t>The study dataset is not publicly available. Access conditions must be determined by the responsible institution following confirmation of the applicable ethics and consent restrictions.</w:t>
      </w:r>
    </w:p>
    <w:p>
      <w:pPr>
        <w:pStyle w:val="Heading3"/>
      </w:pPr>
      <w:r>
        <w:t>Author contributions</w:t>
      </w:r>
    </w:p>
    <w:p>
      <w:pPr>
        <w:jc w:val="left"/>
      </w:pPr>
      <w:r>
        <w:rPr>
          <w:rFonts w:ascii="Times New Roman" w:hAnsi="Times New Roman"/>
          <w:color w:val="000000"/>
        </w:rPr>
        <w:t>Naureen Omar supervised the study. Ayesha Javed and Fatima Sohail conducted the investigation.</w:t>
      </w:r>
    </w:p>
    <w:p>
      <w:pPr>
        <w:pStyle w:val="Heading2"/>
      </w:pPr>
      <w:r>
        <w:t>9. References</w:t>
      </w:r>
    </w:p>
    <w:p>
      <w:pPr>
        <w:pStyle w:val="ListNumber"/>
        <w:jc w:val="left"/>
      </w:pPr>
      <w:r>
        <w:rPr>
          <w:rFonts w:ascii="Times New Roman" w:hAnsi="Times New Roman"/>
          <w:color w:val="000000"/>
        </w:rPr>
        <w:t>World Health Organization. _Strengthening the health sector response to adolescent health and</w:t>
      </w:r>
    </w:p>
    <w:p>
      <w:pPr>
        <w:jc w:val="left"/>
      </w:pPr>
      <w:r>
        <w:rPr>
          <w:rFonts w:ascii="Times New Roman" w:hAnsi="Times New Roman"/>
          <w:color w:val="000000"/>
        </w:rPr>
        <w:t>development._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World Health Organization. _WHO statement on menstrual health and rights._ 22 June 2022.</w:t>
      </w:r>
    </w:p>
    <w:p>
      <w:pPr>
        <w:jc w:val="left"/>
      </w:pPr>
      <w:r>
        <w:rPr>
          <w:rFonts w:ascii="Times New Roman" w:hAnsi="Times New Roman"/>
          <w:color w:val="000000"/>
        </w:rPr>
        <w:t>Available from: https://www.who.int/news/item/22-06-2022-who-statement-on-menstrual-health-and-rights (No DOI; accessed 2026-03-19).</w:t>
      </w:r>
    </w:p>
    <w:p>
      <w:pPr>
        <w:pStyle w:val="ListNumber"/>
        <w:jc w:val="left"/>
      </w:pPr>
      <w:r>
        <w:rPr>
          <w:rFonts w:ascii="Times New Roman" w:hAnsi="Times New Roman"/>
          <w:color w:val="000000"/>
        </w:rPr>
        <w:t>UNESCO. _Puberty education &amp; menstrual hygiene management._ Good Policy and Practice in Health</w:t>
      </w:r>
    </w:p>
    <w:p>
      <w:pPr>
        <w:jc w:val="left"/>
      </w:pPr>
      <w:r>
        <w:rPr>
          <w:rFonts w:ascii="Times New Roman" w:hAnsi="Times New Roman"/>
          <w:color w:val="000000"/>
        </w:rPr>
        <w:t>Education Booklet 9. Paris: UNESCO; 2014. Available from: https://unesdoc.unesco.org/ark:/48223/pf0000226792 (No DOI; accessed 2026-07-12).</w:t>
      </w:r>
    </w:p>
    <w:p>
      <w:pPr>
        <w:pStyle w:val="ListNumber"/>
        <w:jc w:val="left"/>
      </w:pPr>
      <w:r>
        <w:rPr>
          <w:rFonts w:ascii="Times New Roman" w:hAnsi="Times New Roman"/>
          <w:color w:val="000000"/>
        </w:rPr>
        <w:t>Kumbeni MT, Otupiri E, Ziba FA. Menstrual hygiene among adolescent girls in junior high schools</w:t>
      </w:r>
    </w:p>
    <w:p>
      <w:pPr>
        <w:jc w:val="left"/>
      </w:pPr>
      <w:r>
        <w:rPr>
          <w:rFonts w:ascii="Times New Roman" w:hAnsi="Times New Roman"/>
          <w:color w:val="000000"/>
        </w:rPr>
        <w:t>in rural Northern Ghana. _Pan Afr Med J._ 2020;37:190. https://doi.org/10.11604/pamj.2020.37.190.19015</w:t>
      </w:r>
    </w:p>
    <w:p>
      <w:pPr>
        <w:pStyle w:val="ListNumber"/>
        <w:jc w:val="left"/>
      </w:pPr>
      <w:r>
        <w:rPr>
          <w:rFonts w:ascii="Times New Roman" w:hAnsi="Times New Roman"/>
          <w:color w:val="000000"/>
        </w:rPr>
        <w:t>Sahiledengle B, Atlaw D, Kumie A, Tekalegn Y, Woldeyohannes D, Agho KE. Menstrual hygiene</w:t>
      </w:r>
    </w:p>
    <w:p>
      <w:pPr>
        <w:jc w:val="left"/>
      </w:pPr>
      <w:r>
        <w:rPr>
          <w:rFonts w:ascii="Times New Roman" w:hAnsi="Times New Roman"/>
          <w:color w:val="000000"/>
        </w:rPr>
        <w:t>practice among adolescent girls in Ethiopia: a systematic review and meta-analysis. _PLoS One._ 2022;17(1):e0262295. https://doi.org/10.1371/journal.pone.0262295</w:t>
      </w:r>
    </w:p>
    <w:p>
      <w:pPr>
        <w:pStyle w:val="ListNumber"/>
        <w:jc w:val="left"/>
      </w:pPr>
      <w:r>
        <w:rPr>
          <w:rFonts w:ascii="Times New Roman" w:hAnsi="Times New Roman"/>
          <w:color w:val="000000"/>
        </w:rPr>
        <w:t>Belayneh Z, Mekuriaw B. Knowledge and menstrual hygiene practice among adolescent school girls in</w:t>
      </w:r>
    </w:p>
    <w:p>
      <w:pPr>
        <w:jc w:val="left"/>
      </w:pPr>
      <w:r>
        <w:rPr>
          <w:rFonts w:ascii="Times New Roman" w:hAnsi="Times New Roman"/>
          <w:color w:val="000000"/>
        </w:rPr>
        <w:t>southern Ethiopia: a cross-sectional study. _BMC Public Health._ 2019;19(1):1595. https://doi.org/10.1186/s12889-019-7973-9</w:t>
      </w:r>
    </w:p>
    <w:p>
      <w:pPr>
        <w:pStyle w:val="ListNumber"/>
        <w:jc w:val="left"/>
      </w:pPr>
      <w:r>
        <w:rPr>
          <w:rFonts w:ascii="Times New Roman" w:hAnsi="Times New Roman"/>
          <w:color w:val="000000"/>
        </w:rPr>
        <w:t>Bhusal CK. Practice of menstrual hygiene and associated factors among adolescent school girls in</w:t>
      </w:r>
    </w:p>
    <w:p>
      <w:pPr>
        <w:jc w:val="left"/>
      </w:pPr>
      <w:r>
        <w:rPr>
          <w:rFonts w:ascii="Times New Roman" w:hAnsi="Times New Roman"/>
          <w:color w:val="000000"/>
        </w:rPr>
        <w:t>Dang District, Nepal. _Adv Prev Med._ 2020;2020:1292070. https://doi.org/10.1155/2020/1292070</w:t>
      </w:r>
    </w:p>
    <w:p>
      <w:pPr>
        <w:pStyle w:val="ListNumber"/>
        <w:jc w:val="left"/>
      </w:pPr>
      <w:r>
        <w:rPr>
          <w:rFonts w:ascii="Times New Roman" w:hAnsi="Times New Roman"/>
          <w:color w:val="000000"/>
        </w:rPr>
        <w:t>Bhusal CK, Bhattarai S, Kafle R, Shrestha R, Chhetri P, Adhikari K. Level and associated factors</w:t>
      </w:r>
    </w:p>
    <w:p>
      <w:pPr>
        <w:jc w:val="left"/>
      </w:pPr>
      <w:r>
        <w:rPr>
          <w:rFonts w:ascii="Times New Roman" w:hAnsi="Times New Roman"/>
          <w:color w:val="000000"/>
        </w:rPr>
        <w:t>of knowledge regarding menstrual hygiene among school-going adolescent girls in Dang District, Nepal. _Adv Prev Med._ 2020;2020:8872119. https://doi.org/10.1155/2020/8872119</w:t>
      </w:r>
    </w:p>
    <w:p>
      <w:pPr>
        <w:pStyle w:val="ListNumber"/>
        <w:jc w:val="left"/>
      </w:pPr>
      <w:r>
        <w:rPr>
          <w:rFonts w:ascii="Times New Roman" w:hAnsi="Times New Roman"/>
          <w:color w:val="000000"/>
        </w:rPr>
        <w:t>Sonowal P, Talukdar K, Saikia H. Sociodemographic factors and their association with menstrual</w:t>
      </w:r>
    </w:p>
    <w:p>
      <w:pPr>
        <w:jc w:val="left"/>
      </w:pPr>
      <w:r>
        <w:rPr>
          <w:rFonts w:ascii="Times New Roman" w:hAnsi="Times New Roman"/>
          <w:color w:val="000000"/>
        </w:rPr>
        <w:t>hygiene practices among adolescent girls in urban slums of Dibrugarh town, Assam. _J Family Med Prim Care._ 2021;10(12):4446-4451. https://doi.org/10.4103/jfmpc.jfmpc_703_21</w:t>
      </w:r>
    </w:p>
    <w:p>
      <w:pPr>
        <w:pStyle w:val="ListNumber"/>
        <w:jc w:val="left"/>
      </w:pPr>
      <w:r>
        <w:rPr>
          <w:rFonts w:ascii="Times New Roman" w:hAnsi="Times New Roman"/>
          <w:color w:val="000000"/>
        </w:rPr>
        <w:t>Srivastava U, Singh KK. Exploring knowledge and perceptions of school adolescents regarding</w:t>
      </w:r>
    </w:p>
    <w:p>
      <w:pPr>
        <w:jc w:val="left"/>
      </w:pPr>
      <w:r>
        <w:rPr>
          <w:rFonts w:ascii="Times New Roman" w:hAnsi="Times New Roman"/>
          <w:color w:val="000000"/>
        </w:rPr>
        <w:t>pubertal changes and reproductive health. _Indian J Youth Adolesc Health._ 2017;4(1):26-35. https://doi.org/10.24321/2349.2880.201705</w:t>
      </w:r>
    </w:p>
    <w:p>
      <w:pPr>
        <w:pStyle w:val="ListNumber"/>
        <w:jc w:val="left"/>
      </w:pPr>
      <w:r>
        <w:rPr>
          <w:rFonts w:ascii="Times New Roman" w:hAnsi="Times New Roman"/>
          <w:color w:val="000000"/>
        </w:rPr>
        <w:t>Wasan Y, Baxter JAB, Rizvi A, Shaheen F, Junejo Q, Abro MA, et al. Practices and predictors of</w:t>
      </w:r>
    </w:p>
    <w:p>
      <w:pPr>
        <w:jc w:val="left"/>
      </w:pPr>
      <w:r>
        <w:rPr>
          <w:rFonts w:ascii="Times New Roman" w:hAnsi="Times New Roman"/>
          <w:color w:val="000000"/>
        </w:rPr>
        <w:t>menstrual hygiene management material use among adolescent and young women in rural Pakistan: a cross-sectional assessment. _J Glob Health._ 2022;12:04059. https://doi.org/10.7189/jogh.12.04059</w:t>
      </w:r>
    </w:p>
    <w:p>
      <w:pPr>
        <w:pStyle w:val="ListNumber"/>
        <w:jc w:val="left"/>
      </w:pPr>
      <w:r>
        <w:rPr>
          <w:rFonts w:ascii="Times New Roman" w:hAnsi="Times New Roman"/>
          <w:color w:val="000000"/>
        </w:rPr>
        <w:t>Aziz A, Memon S, Aziz F, Memon F, Khowaja BMH, Zafar SN. A comparative study of the knowledge</w:t>
      </w:r>
    </w:p>
    <w:p>
      <w:pPr>
        <w:jc w:val="left"/>
      </w:pPr>
      <w:r>
        <w:rPr>
          <w:rFonts w:ascii="Times New Roman" w:hAnsi="Times New Roman"/>
          <w:color w:val="000000"/>
        </w:rPr>
        <w:t>and practices related to menstrual hygiene among adolescent girls in urban and rural areas of Sindh, Pakistan: a cross-sectional study. _Womens Health (Lond)._ 2024;20:17455057241231420. https://doi.org/10.1177/17455057241231420</w:t>
      </w:r>
    </w:p>
    <w:p>
      <w:pPr>
        <w:pStyle w:val="ListNumber"/>
        <w:jc w:val="left"/>
      </w:pPr>
      <w:r>
        <w:rPr>
          <w:rFonts w:ascii="Times New Roman" w:hAnsi="Times New Roman"/>
          <w:color w:val="000000"/>
        </w:rPr>
        <w:t>Shah SF, Punjani NS, Rizvi SN, Sheikh SS, Jan R. Knowledge, attitudes, and practices regarding</w:t>
      </w:r>
    </w:p>
    <w:p>
      <w:pPr>
        <w:jc w:val="left"/>
      </w:pPr>
      <w:r>
        <w:rPr>
          <w:rFonts w:ascii="Times New Roman" w:hAnsi="Times New Roman"/>
          <w:color w:val="000000"/>
        </w:rPr>
        <w:t>menstrual hygiene among girls in Ghizer, Gilgit, Pakistan. _Int J Environ Res Public Health._ 2023;20(14):6424. https://doi.org/10.3390/ijerph20146424</w:t>
      </w:r>
    </w:p>
    <w:p>
      <w:pPr>
        <w:pStyle w:val="ListNumber"/>
        <w:jc w:val="left"/>
      </w:pPr>
      <w:r>
        <w:rPr>
          <w:rFonts w:ascii="Times New Roman" w:hAnsi="Times New Roman"/>
          <w:color w:val="000000"/>
        </w:rPr>
        <w:t>Michael J, Iqbal Q, Haider S, Khalid A, Haque N, Ishaq R, et al. Knowledge and practice of</w:t>
      </w:r>
    </w:p>
    <w:p>
      <w:pPr>
        <w:jc w:val="left"/>
      </w:pPr>
      <w:r>
        <w:rPr>
          <w:rFonts w:ascii="Times New Roman" w:hAnsi="Times New Roman"/>
          <w:color w:val="000000"/>
        </w:rPr>
        <w:t>adolescent females about menstruation and menstruation hygiene visiting a public healthcare institute of Quetta, Pakistan. _BMC Womens Health._ 2020;20(1):4. https://doi.org/10.1186/s12905-019-0874-3</w:t>
      </w:r>
    </w:p>
    <w:p>
      <w:pPr>
        <w:pStyle w:val="ListNumber"/>
        <w:jc w:val="left"/>
      </w:pPr>
      <w:r>
        <w:rPr>
          <w:rFonts w:ascii="Times New Roman" w:hAnsi="Times New Roman"/>
          <w:color w:val="000000"/>
        </w:rPr>
        <w:t>Afzaal SS, Baloch S, Tahir S, Javed H, Saeed A, Pal MHA, et al. Awareness and practices of</w:t>
      </w:r>
    </w:p>
    <w:p>
      <w:pPr>
        <w:jc w:val="left"/>
      </w:pPr>
      <w:r>
        <w:rPr>
          <w:rFonts w:ascii="Times New Roman" w:hAnsi="Times New Roman"/>
          <w:color w:val="000000"/>
        </w:rPr>
        <w:t>menstrual hygiene among rural adolescent schoolgirls in Lahore, Pakistan: a cross-sectional study. _Cureus._ 2024;16(11):e73899. https://doi.org/10.7759/cureus.73899</w:t>
      </w:r>
    </w:p>
    <w:p>
      <w:pPr>
        <w:pStyle w:val="ListNumber"/>
        <w:jc w:val="left"/>
      </w:pPr>
      <w:r>
        <w:rPr>
          <w:rFonts w:ascii="Times New Roman" w:hAnsi="Times New Roman"/>
          <w:color w:val="000000"/>
        </w:rPr>
        <w:t>Dasgupta A, Sarkar M. Menstrual hygiene: how hygienic is the adolescent girl? _Indian J</w:t>
      </w:r>
    </w:p>
    <w:p>
      <w:pPr>
        <w:jc w:val="left"/>
      </w:pPr>
      <w:r>
        <w:rPr>
          <w:rFonts w:ascii="Times New Roman" w:hAnsi="Times New Roman"/>
          <w:color w:val="000000"/>
        </w:rPr>
        <w:t>Community Med._ 2008;33(2):77-80. https://doi.org/10.4103/0970-0218.40872</w:t>
      </w:r>
    </w:p>
    <w:p>
      <w:pPr>
        <w:pStyle w:val="ListNumber"/>
        <w:jc w:val="left"/>
      </w:pPr>
      <w:r>
        <w:rPr>
          <w:rFonts w:ascii="Times New Roman" w:hAnsi="Times New Roman"/>
          <w:color w:val="000000"/>
        </w:rPr>
        <w:t>Kumar A, Kansal S, Singh S. Menstrual hygiene practices in context of schooling: a community</w:t>
      </w:r>
    </w:p>
    <w:p>
      <w:pPr>
        <w:jc w:val="left"/>
      </w:pPr>
      <w:r>
        <w:rPr>
          <w:rFonts w:ascii="Times New Roman" w:hAnsi="Times New Roman"/>
          <w:color w:val="000000"/>
        </w:rPr>
        <w:t>study among rural adolescent girls in Varanasi. _Indian J Community Med._ 2016;41(1):39-44. https://doi.org/10.4103/0970-0218.170964</w:t>
      </w:r>
    </w:p>
    <w:p>
      <w:pPr>
        <w:pStyle w:val="ListNumber"/>
        <w:jc w:val="left"/>
      </w:pPr>
      <w:r>
        <w:rPr>
          <w:rFonts w:ascii="Times New Roman" w:hAnsi="Times New Roman"/>
          <w:color w:val="000000"/>
        </w:rPr>
        <w:t>Yadav RN, Joshi S, Poudel R, Pandeya P. Knowledge, attitude, and practice on menstrual hygiene</w:t>
      </w:r>
    </w:p>
    <w:p>
      <w:pPr>
        <w:jc w:val="left"/>
      </w:pPr>
      <w:r>
        <w:rPr>
          <w:rFonts w:ascii="Times New Roman" w:hAnsi="Times New Roman"/>
          <w:color w:val="000000"/>
        </w:rPr>
        <w:t>management among school adolescents. _J Nepal Health Res Counc._ 2018;15(3):212-216. https://doi.org/10.3126/jnhrc.v15i3.18842</w:t>
      </w:r>
    </w:p>
    <w:p>
      <w:pPr>
        <w:pStyle w:val="ListNumber"/>
        <w:jc w:val="left"/>
      </w:pPr>
      <w:r>
        <w:rPr>
          <w:rFonts w:ascii="Times New Roman" w:hAnsi="Times New Roman"/>
          <w:color w:val="000000"/>
        </w:rPr>
        <w:t>Haque SE, Rahman M, Kawashima I, Mutahara M, Sakisaka K. The effect of a school-based</w:t>
      </w:r>
    </w:p>
    <w:p>
      <w:pPr>
        <w:jc w:val="left"/>
      </w:pPr>
      <w:r>
        <w:rPr>
          <w:rFonts w:ascii="Times New Roman" w:hAnsi="Times New Roman"/>
          <w:color w:val="000000"/>
        </w:rPr>
        <w:t>educational intervention on menstrual health: an intervention study among adolescent girls in Bangladesh. _BMJ Open._ 2014;4(7):e004607. https://doi.org/10.1136/bmjopen-2013-004607</w:t>
      </w:r>
    </w:p>
    <w:p>
      <w:pPr>
        <w:pStyle w:val="ListNumber"/>
        <w:jc w:val="left"/>
      </w:pPr>
      <w:r>
        <w:rPr>
          <w:rFonts w:ascii="Times New Roman" w:hAnsi="Times New Roman"/>
          <w:color w:val="000000"/>
        </w:rPr>
        <w:t>Alam MU, Luby SP, Halder AK, Islam K, Opel A, Shoab AK, et al. Menstrual hygiene management</w:t>
      </w:r>
    </w:p>
    <w:p>
      <w:pPr>
        <w:jc w:val="left"/>
      </w:pPr>
      <w:r>
        <w:rPr>
          <w:rFonts w:ascii="Times New Roman" w:hAnsi="Times New Roman"/>
          <w:color w:val="000000"/>
        </w:rPr>
        <w:t>among Bangladeshi adolescent schoolgirls and risk factors affecting school absence: results from a cross-sectional survey. _BMJ Open._ 2017;7(7):e015508. https://doi.org/10.1136/bmjopen-2016-015508</w:t>
      </w:r>
    </w:p>
    <w:p>
      <w:pPr>
        <w:pStyle w:val="ListNumber"/>
        <w:jc w:val="left"/>
      </w:pPr>
      <w:r>
        <w:rPr>
          <w:rFonts w:ascii="Times New Roman" w:hAnsi="Times New Roman"/>
          <w:color w:val="000000"/>
        </w:rPr>
        <w:t>Upashe SP, Tekelab T, Mekonnen J. Assessment of knowledge and practice of menstrual hygiene</w:t>
      </w:r>
    </w:p>
    <w:p>
      <w:pPr>
        <w:jc w:val="left"/>
      </w:pPr>
      <w:r>
        <w:rPr>
          <w:rFonts w:ascii="Times New Roman" w:hAnsi="Times New Roman"/>
          <w:color w:val="000000"/>
        </w:rPr>
        <w:t>among high school girls in Western Ethiopia. _BMC Womens Health._ 2015;15:84. https://doi.org/10.1186/s12905-015-0245-7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