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Association Between Maternal Education and Menstrual Hygiene Knowledge and Practices Among Adolescent Girls: A School-Based Cross-Sectional Study in Lahore, Pakistan</w:t>
      </w:r>
    </w:p>
    <w:p>
      <w:pPr>
        <w:jc w:val="left"/>
      </w:pPr>
      <w:r>
        <w:rPr>
          <w:rFonts w:ascii="Times New Roman" w:hAnsi="Times New Roman"/>
          <w:b/>
          <w:color w:val="000000"/>
        </w:rPr>
        <w:t>Authors:</w:t>
      </w:r>
      <w:r>
        <w:rPr>
          <w:rFonts w:ascii="Times New Roman" w:hAnsi="Times New Roman"/>
          <w:color w:val="000000"/>
        </w:rPr>
        <w:t xml:space="preserve"> Dr Ayesha Javed; Dr Fatima Sohail</w:t>
      </w:r>
    </w:p>
    <w:p>
      <w:pPr>
        <w:jc w:val="left"/>
      </w:pPr>
      <w:r>
        <w:rPr>
          <w:rFonts w:ascii="Times New Roman" w:hAnsi="Times New Roman"/>
          <w:b/>
          <w:color w:val="000000"/>
        </w:rPr>
        <w:t>Study supervisor:</w:t>
      </w:r>
      <w:r>
        <w:rPr>
          <w:rFonts w:ascii="Times New Roman" w:hAnsi="Times New Roman"/>
          <w:color w:val="000000"/>
        </w:rPr>
        <w:t xml:space="preserve"> Dr Naureen Omar</w:t>
      </w:r>
    </w:p>
    <w:p>
      <w:pPr>
        <w:pStyle w:val="Heading2"/>
      </w:pPr>
      <w:r>
        <w:t>Abstract</w:t>
      </w:r>
    </w:p>
    <w:p>
      <w:pPr>
        <w:jc w:val="left"/>
      </w:pPr>
      <w:r>
        <w:rPr>
          <w:rFonts w:ascii="Times New Roman" w:hAnsi="Times New Roman"/>
          <w:color w:val="000000"/>
        </w:rPr>
        <w:t>Menstrual hygiene can affect adolescent health, dignity, and school attendance. Evidence about the role of maternal education in sub-urban Pakistan remains limited. This study aimed to assess knowledge and practices among adolescent girls and examine differences across maternal education groups. Data from 120 participants in a school-based cross-sectional study in sub-urban Lahore were analyzed. Knowledge scores ranged from 0 to 9 and practice scores from 0 to 7; missing questionnaire responses were scored zero. Descriptive statistics, Kruskal-Wallis tests, effect sizes, correlations, and sensitivity analyses were used. Participants had a mean age of 14.47 years (range 12-18). Mean knowledge was 6.65/9 (SD 1.22), and mean practice was 5.68/7 (SD 0.58). Practice differed significantly across maternal education groups in the primary unadjusted comparison (H = 10.1562, p = 0.0379, epsilon-squared = 0.0853), while knowledge did not (H = 8.0427, p = 0.0900, epsilon-squared = 0.0676). The exploratory Holm-adjusted practice p-value was 0.0758. Age correlated with knowledge (r = 0.314, p = 0.0005), and knowledge correlated with practice (r = 0.317, p = 0.0004). Restricting practice analysis to complete responses produced H = 8.6488 and p = 0.0705. The primary analysis suggests a possible association between maternal education and menstrual hygiene practice, but the result was sensitive to analytical assumptions and may be confounded by age. It does not establish an independent or causal effect.</w:t>
      </w:r>
    </w:p>
    <w:p>
      <w:pPr>
        <w:jc w:val="left"/>
      </w:pPr>
      <w:r>
        <w:rPr>
          <w:rFonts w:ascii="Times New Roman" w:hAnsi="Times New Roman"/>
          <w:b/>
          <w:color w:val="000000"/>
        </w:rPr>
        <w:t>Keywords:</w:t>
      </w:r>
      <w:r>
        <w:rPr>
          <w:rFonts w:ascii="Times New Roman" w:hAnsi="Times New Roman"/>
          <w:color w:val="000000"/>
        </w:rPr>
        <w:t xml:space="preserve"> menstrual hygiene; adolescent girls; maternal education; Pakistan; school health; cross-sectional study</w:t>
      </w:r>
    </w:p>
    <w:p>
      <w:pPr>
        <w:pStyle w:val="Heading2"/>
      </w:pPr>
      <w:r>
        <w:t>1. Introduction</w:t>
      </w:r>
    </w:p>
    <w:p>
      <w:pPr>
        <w:jc w:val="left"/>
      </w:pPr>
      <w:r>
        <w:rPr>
          <w:rFonts w:ascii="Times New Roman" w:hAnsi="Times New Roman"/>
          <w:color w:val="000000"/>
        </w:rPr>
        <w:t>Adolescence is a period in which many health-related attitudes and behaviors develop and may continue into adulthood. Menstrual health is an important part of adolescent well-being. Girls must manage menarche, menstrual cycles, personal hygiene, and social stigma, sometimes without adequate information or material support. Guidance from the World Health Organization and UNESCO treats menstrual health as an issue of health, education, rights, and gender equity. Effective menstrual health support requires suitable hygiene materials, accurate knowledge, supportive social norms, and safe sanitation [1-3].</w:t>
      </w:r>
    </w:p>
    <w:p>
      <w:pPr>
        <w:jc w:val="left"/>
      </w:pPr>
      <w:r>
        <w:rPr>
          <w:rFonts w:ascii="Times New Roman" w:hAnsi="Times New Roman"/>
          <w:color w:val="000000"/>
        </w:rPr>
        <w:t>In low- and middle-income settings, menstrual hygiene management may be limited by social silence, cultural taboos, lack of privacy, and inadequate access to absorbents and disposal facilities. Some girls reach menarche without prior preparation and depend on informal or incomplete information. These conditions may reduce hygienic practice, cause discomfort and embarrassment, and disrupt school attendance and social participation. Studies from Ghana, Ethiopia, Nepal, India, and related settings indicate that menstrual knowledge and practices are associated with parental education, access to information, and wider socioeconomic conditions [4-10].</w:t>
      </w:r>
    </w:p>
    <w:p>
      <w:pPr>
        <w:jc w:val="left"/>
      </w:pPr>
      <w:r>
        <w:rPr>
          <w:rFonts w:ascii="Times New Roman" w:hAnsi="Times New Roman"/>
          <w:color w:val="000000"/>
        </w:rPr>
        <w:t>Family circumstances and maternal education may be especially relevant in sub-urban communities in Pakistan, where education, household resources, and social norms vary. Maternal education may affect daughters' menstrual hygiene through communication, supervision, examples of hygienic routines, and access to menstrual products. However, higher maternal education may not produce large differences in formal knowledge when girls also learn from peers, media, or schools. This study assessed menstrual hygiene knowledge and practices among adolescent girls in a sub-urban area of Lahore, Pakistan, and examined differences across maternal education categories.</w:t>
      </w:r>
    </w:p>
    <w:p>
      <w:pPr>
        <w:pStyle w:val="Heading2"/>
      </w:pPr>
      <w:r>
        <w:t>2. Rationale and Objectives</w:t>
      </w:r>
    </w:p>
    <w:p>
      <w:pPr>
        <w:jc w:val="left"/>
      </w:pPr>
      <w:r>
        <w:rPr>
          <w:rFonts w:ascii="Times New Roman" w:hAnsi="Times New Roman"/>
          <w:color w:val="000000"/>
        </w:rPr>
        <w:t>This analysis considered whether maternal education was more closely related to girls' knowledge about menstruation or to their menstrual hygiene practices. The distinction matters because improved awareness may not change behavior when household conditions, product access, or sanitation remain limiting. The primary objectives were to assess menstrual hygiene knowledge and practice scores and determine whether these scores differed by maternal education level. Secondary objectives were to describe the participants' demographic characteristics and household economic indicators and to examine correlations among age, income, family size, and menstrual hygiene scores.</w:t>
      </w:r>
    </w:p>
    <w:p>
      <w:pPr>
        <w:pStyle w:val="Heading2"/>
      </w:pPr>
      <w:r>
        <w:t>3. Methods</w:t>
      </w:r>
    </w:p>
    <w:p>
      <w:pPr>
        <w:pStyle w:val="Heading3"/>
      </w:pPr>
      <w:r>
        <w:t>3.1 Study design, setting, and study synopsis</w:t>
      </w:r>
    </w:p>
    <w:p>
      <w:pPr>
        <w:jc w:val="left"/>
      </w:pPr>
      <w:r>
        <w:rPr>
          <w:rFonts w:ascii="Times New Roman" w:hAnsi="Times New Roman"/>
          <w:color w:val="000000"/>
        </w:rPr>
        <w:t>This cross-sectional school-based questionnaire study used the finalized survey dataset from Reach School on Sau Asal Road, Lahore. The original study synopsis specified a nine-month study period from March to December 2024, school-based recruitment, a structured questionnaire administered by the primary investigators, and an interview lasting about 15 to 20 minutes for each participant.</w:t>
      </w:r>
    </w:p>
    <w:p>
      <w:pPr>
        <w:pStyle w:val="Heading3"/>
      </w:pPr>
      <w:r>
        <w:t>3.2 Participant selection and analytic sample</w:t>
      </w:r>
    </w:p>
    <w:p>
      <w:pPr>
        <w:jc w:val="left"/>
      </w:pPr>
      <w:r>
        <w:rPr>
          <w:rFonts w:ascii="Times New Roman" w:hAnsi="Times New Roman"/>
          <w:color w:val="000000"/>
        </w:rPr>
        <w:t>The study synopsis defined eligible participants as adolescent girls with parental consent. Students without parental consent and those who did not wish to participate were excluded. Simple random sampling by lottery was specified from a prepared list of eligible female students. The SPSS file contained 120 nonblank participant records and 40 fully blank trailing rows. The blank rows were file artifacts rather than excluded participants. No recruitment denominator, response rate, or prospective sample-size calculation was documented; all 120 nonblank records were analyzed.</w:t>
      </w:r>
    </w:p>
    <w:p>
      <w:pPr>
        <w:pStyle w:val="Heading3"/>
      </w:pPr>
      <w:r>
        <w:t>3.3 Study variables</w:t>
      </w:r>
    </w:p>
    <w:p>
      <w:pPr>
        <w:jc w:val="left"/>
      </w:pPr>
      <w:r>
        <w:rPr>
          <w:rFonts w:ascii="Times New Roman" w:hAnsi="Times New Roman"/>
          <w:color w:val="000000"/>
        </w:rPr>
        <w:t>The main outcomes were menstrual hygiene knowledge score and menstrual hygiene practice score. Knowledge was measured as a bounded discrete score from 0 to 9, and practice was measured as a bounded discrete score from 0 to 7. Maternal education was the primary explanatory variable. The SPSS metadata coded it as 1 = Illiterate, 2 = Primary, 3 = Middle, 4 = Secondary, and 5 = Intermediate and above. Other descriptive and exploratory variables were age, paternal education, maternal occupation, paternal occupation, monthly household income, family size, and per-capita income.</w:t>
      </w:r>
    </w:p>
    <w:p>
      <w:pPr>
        <w:pStyle w:val="Heading3"/>
      </w:pPr>
      <w:r>
        <w:t>3.4 Scoring rules and derived variables</w:t>
      </w:r>
    </w:p>
    <w:p>
      <w:pPr>
        <w:jc w:val="left"/>
      </w:pPr>
      <w:r>
        <w:rPr>
          <w:rFonts w:ascii="Times New Roman" w:hAnsi="Times New Roman"/>
          <w:color w:val="000000"/>
        </w:rPr>
        <w:t>The knowledge score was calculated from the Section III questionnaire items using the prespecified scoring key, with one correction based on the variable labels and biological validity. The key assigned the menstruation-process point to code 2, although the SPSS metadata labeled code 1 as physiological/natural and code 2 as pathological/disease. Because menstruation is physiological rather than pathological, code 1 received the point in the primary analysis. The original coding was examined in a sensitivity analysis.</w:t>
      </w:r>
    </w:p>
    <w:p>
      <w:pPr>
        <w:jc w:val="left"/>
      </w:pPr>
      <w:r>
        <w:rPr>
          <w:rFonts w:ascii="Times New Roman" w:hAnsi="Times New Roman"/>
          <w:color w:val="000000"/>
        </w:rPr>
        <w:t>The practice score was calculated from the Section IV questionnaire items using the prespecified scoring key. Missing or out-of-label questionnaire responses were assigned zero. Four scored items gave one point for every listed response option: the absorbent and change-frequency items in both the knowledge and practice sections. These items contributed to the total scores but did not distinguish among participants. Per-capita income was calculated by dividing monthly household income by total family members and was treated as missing when income or family size was unavailable or family size was zero.</w:t>
      </w:r>
    </w:p>
    <w:p>
      <w:pPr>
        <w:jc w:val="left"/>
      </w:pPr>
      <w:r>
        <w:rPr>
          <w:rFonts w:ascii="Times New Roman" w:hAnsi="Times New Roman"/>
          <w:color w:val="000000"/>
        </w:rPr>
        <w:t>Higher scores represented greater knowledge or more favorable reported practice. The questionnaire was study-specific; documentation of prior validation, reliability testing, language adaptation, or pilot testing was not available.</w:t>
      </w:r>
    </w:p>
    <w:p>
      <w:pPr>
        <w:pStyle w:val="Heading3"/>
      </w:pPr>
      <w:r>
        <w:t>3.5 Data quality procedures</w:t>
      </w:r>
    </w:p>
    <w:p>
      <w:pPr>
        <w:jc w:val="left"/>
      </w:pPr>
      <w:r>
        <w:rPr>
          <w:rFonts w:ascii="Times New Roman" w:hAnsi="Times New Roman"/>
          <w:color w:val="000000"/>
        </w:rPr>
        <w:t>Before analysis, missing values and categorical responses outside the SPSS value domains were identified. Conditional follow-up questions were distinguished from core variables so that expected skip-pattern missingness was not classified as poor data capture. Reported total family size was compared with the sum of male and female family members.</w:t>
      </w:r>
    </w:p>
    <w:p>
      <w:pPr>
        <w:pStyle w:val="Heading3"/>
      </w:pPr>
      <w:r>
        <w:t>3.6 Statistical analysis</w:t>
      </w:r>
    </w:p>
    <w:p>
      <w:pPr>
        <w:jc w:val="left"/>
      </w:pPr>
      <w:r>
        <w:rPr>
          <w:rFonts w:ascii="Times New Roman" w:hAnsi="Times New Roman"/>
          <w:color w:val="000000"/>
        </w:rPr>
        <w:t>All statistical tests used a two-sided significance threshold of 0.05. Categorical variables were summarized with counts and percentages. Continuous variables were summarized with the mean, median, standard deviation, minimum, maximum, and quartiles. Knowledge and practice scores were the two principal outcomes.</w:t>
      </w:r>
    </w:p>
    <w:p>
      <w:pPr>
        <w:jc w:val="left"/>
      </w:pPr>
      <w:r>
        <w:rPr>
          <w:rFonts w:ascii="Times New Roman" w:hAnsi="Times New Roman"/>
          <w:color w:val="000000"/>
        </w:rPr>
        <w:t>Before group comparisons were selected, Shapiro-Wilk tests were used to assess within-group normality when group size allowed. Levene's test was used to assess homogeneity of variance when feasible, and small group sizes were identified as a further limitation of parametric analysis. Because the scores were bounded and discrete and the maternal education groups were markedly imbalanced, the primary comparisons used Kruskal-Wallis tests. Epsilon-squared was reported as the effect size. Unadjusted p-values are reported for the principal comparisons. Because the protocol did not identify one inferential outcome as primary, a conservative exploratory Holm correction across knowledge and practice was also examined as a sensitivity analysis.</w:t>
      </w:r>
    </w:p>
    <w:p>
      <w:pPr>
        <w:jc w:val="left"/>
      </w:pPr>
      <w:r>
        <w:rPr>
          <w:rFonts w:ascii="Times New Roman" w:hAnsi="Times New Roman"/>
          <w:color w:val="000000"/>
        </w:rPr>
        <w:t>Analyses were conducted in Python 3.12.7 using pandas 2.2.2, NumPy 1.26.4, and SciPy 1.13.1. Kruskal-Wallis p-values were asymptotic, and epsilon-squared was calculated as H/(n-1).</w:t>
      </w:r>
    </w:p>
    <w:p>
      <w:pPr>
        <w:jc w:val="left"/>
      </w:pPr>
      <w:r>
        <w:rPr>
          <w:rFonts w:ascii="Times New Roman" w:hAnsi="Times New Roman"/>
          <w:color w:val="000000"/>
        </w:rPr>
        <w:t>Pearson complete-case correlations were used to assess linear associations among age, income, family size, per-capita income, knowledge score, practice score, and total score. These secondary correlations were exploratory and were not corrected for multiple testing. Because income was strongly right-skewed and susceptible to outliers, Spearman rank correlations were calculated as sensitivity analyses. Other sensitivity analyses repeated the Kruskal-Wallis tests after excluding the highest maternal education category, treated maternal education as an ordinal rank, tested whether age differed among maternal education groups, restricted practice analysis to complete responses, and applied the original scoring for the disputed knowledge item.</w:t>
      </w:r>
    </w:p>
    <w:p>
      <w:pPr>
        <w:pStyle w:val="Heading3"/>
      </w:pPr>
      <w:r>
        <w:t>3.7 Ethical considerations</w:t>
      </w:r>
    </w:p>
    <w:p>
      <w:pPr>
        <w:jc w:val="left"/>
      </w:pPr>
      <w:r>
        <w:rPr>
          <w:rFonts w:ascii="Times New Roman" w:hAnsi="Times New Roman"/>
          <w:color w:val="000000"/>
        </w:rPr>
        <w:t>Ethics approval and parental consent documentation could not be verified. The manuscript must not be submitted until the approving institution, approval identifier, and menstrual-hygiene-specific consent process are confirmed.</w:t>
      </w:r>
    </w:p>
    <w:p>
      <w:pPr>
        <w:pStyle w:val="Heading2"/>
      </w:pPr>
      <w:r>
        <w:t>4. Results</w:t>
      </w:r>
    </w:p>
    <w:p>
      <w:pPr>
        <w:pStyle w:val="Heading3"/>
      </w:pPr>
      <w:r>
        <w:t>4.1 Analytic sample</w:t>
      </w:r>
    </w:p>
    <w:p>
      <w:pPr>
        <w:jc w:val="left"/>
      </w:pPr>
      <w:r>
        <w:rPr>
          <w:rFonts w:ascii="Times New Roman" w:hAnsi="Times New Roman"/>
          <w:color w:val="000000"/>
        </w:rPr>
        <w:t>The analysis included 120 nonblank participant records. The 40 fully blank trailing rows contained no participant data and were not counted as recruited or excluded participants. Numbers assessed for eligibility, invited, declining participation, and enrolled were unavailable.</w:t>
      </w:r>
    </w:p>
    <w:p>
      <w:pPr>
        <w:pStyle w:val="Heading3"/>
      </w:pPr>
      <w:r>
        <w:t>4.2 Demographic and household characteristics</w:t>
      </w:r>
    </w:p>
    <w:p>
      <w:pPr>
        <w:jc w:val="left"/>
      </w:pPr>
      <w:r>
        <w:rPr>
          <w:rFonts w:ascii="Times New Roman" w:hAnsi="Times New Roman"/>
          <w:color w:val="000000"/>
        </w:rPr>
        <w:t>Mean participant age was 14.47 years (SD 1.40), with a range of 12 to 18 years. Monthly household income varied widely. The mean was 48,833.33, and the maximum was 600,000, indicating substantial right-skewness. Mean family size was 6.66 members, and mean per-capita income was 8,648.83. Maternal education was concentrated in the lower categories: 71.7% of participants were in the illiterate category, and 14.2% were in the primary category. Only one participant was in the Intermediate and above category. Table 1 gives the full demographic summary.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Variable</w:t>
            </w:r>
          </w:p>
        </w:tc>
        <w:tc>
          <w:tcPr>
            <w:tcW w:type="dxa" w:w="3120"/>
          </w:tcPr>
          <w:p>
            <w:pPr>
              <w:spacing w:after="60"/>
            </w:pPr>
            <w:r>
              <w:rPr>
                <w:rFonts w:ascii="Times New Roman" w:hAnsi="Times New Roman"/>
                <w:b/>
                <w:color w:val="000000"/>
                <w:sz w:val="20"/>
              </w:rPr>
              <w:t>Category/Statistic</w:t>
            </w:r>
          </w:p>
        </w:tc>
        <w:tc>
          <w:tcPr>
            <w:tcW w:type="dxa" w:w="3120"/>
          </w:tcPr>
          <w:p>
            <w:pPr>
              <w:spacing w:after="60"/>
            </w:pPr>
            <w:r>
              <w:rPr>
                <w:rFonts w:ascii="Times New Roman" w:hAnsi="Times New Roman"/>
                <w:b/>
                <w:color w:val="000000"/>
                <w:sz w:val="20"/>
              </w:rPr>
              <w:t>Value</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14.47 +/- 1.40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14.0 (13.0-15.0)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Range</w:t>
            </w:r>
          </w:p>
        </w:tc>
        <w:tc>
          <w:tcPr>
            <w:tcW w:type="dxa" w:w="3120"/>
          </w:tcPr>
          <w:p>
            <w:pPr>
              <w:spacing w:after="60"/>
            </w:pPr>
            <w:r>
              <w:rPr>
                <w:rFonts w:ascii="Times New Roman" w:hAnsi="Times New Roman"/>
                <w:color w:val="000000"/>
                <w:sz w:val="20"/>
              </w:rPr>
              <w:t>12-18</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48,833.33 +/- 57,440.99</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45,000 (30,000-50,000)</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6.66 +/- 2.38</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 (5-8)</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8,648.83 +/- 10,763.62</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6,428.57 (4,285.71-10,000)</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86 (71.7%)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17 (14.2%)</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1 (0.8%)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Non-working</w:t>
            </w:r>
          </w:p>
        </w:tc>
        <w:tc>
          <w:tcPr>
            <w:tcW w:type="dxa" w:w="3120"/>
          </w:tcPr>
          <w:p>
            <w:pPr>
              <w:spacing w:after="60"/>
            </w:pPr>
            <w:r>
              <w:rPr>
                <w:rFonts w:ascii="Times New Roman" w:hAnsi="Times New Roman"/>
                <w:color w:val="000000"/>
                <w:sz w:val="20"/>
              </w:rPr>
              <w:t>103 (85.8%)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Working</w:t>
            </w:r>
          </w:p>
        </w:tc>
        <w:tc>
          <w:tcPr>
            <w:tcW w:type="dxa" w:w="3120"/>
          </w:tcPr>
          <w:p>
            <w:pPr>
              <w:spacing w:after="60"/>
            </w:pPr>
            <w:r>
              <w:rPr>
                <w:rFonts w:ascii="Times New Roman" w:hAnsi="Times New Roman"/>
                <w:color w:val="000000"/>
                <w:sz w:val="20"/>
              </w:rPr>
              <w:t>14 (11.7%)</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Other/unlabeled code</w:t>
            </w:r>
          </w:p>
        </w:tc>
        <w:tc>
          <w:tcPr>
            <w:tcW w:type="dxa" w:w="3120"/>
          </w:tcPr>
          <w:p>
            <w:pPr>
              <w:spacing w:after="60"/>
            </w:pPr>
            <w:r>
              <w:rPr>
                <w:rFonts w:ascii="Times New Roman" w:hAnsi="Times New Roman"/>
                <w:color w:val="000000"/>
                <w:sz w:val="20"/>
              </w:rPr>
              <w:t>3 (2.5%)</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35 (29.2%)</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28 (23.3%)</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9 (7.5%)</w:t>
            </w:r>
          </w:p>
        </w:tc>
      </w:tr>
    </w:tbl>
    <w:p/>
    <w:p>
      <w:pPr>
        <w:pStyle w:val="Heading3"/>
      </w:pPr>
      <w:r>
        <w:t>4.3 Knowledge and practice score distributions</w:t>
      </w:r>
    </w:p>
    <w:p>
      <w:pPr>
        <w:jc w:val="left"/>
      </w:pPr>
      <w:r>
        <w:rPr>
          <w:rFonts w:ascii="Times New Roman" w:hAnsi="Times New Roman"/>
          <w:color w:val="000000"/>
        </w:rPr>
        <w:t>Knowledge scores ranged from 3 to 9. The mean was 6.65, and the median was 7.00. Practice scores ranged from 4 to 7, with a mean of 5.68 and a median of 6.00. Practice scores were more closely clustered than knowledge scores. A knowledge score of 7 was the most common knowledge result (37.5%), and a practice score of 6 was the most common practice result (71.7%). Table 2 summarizes the distributions.</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Score domain</w:t>
            </w:r>
          </w:p>
        </w:tc>
        <w:tc>
          <w:tcPr>
            <w:tcW w:type="dxa" w:w="4680"/>
          </w:tcPr>
          <w:p>
            <w:pPr>
              <w:spacing w:after="60"/>
            </w:pPr>
            <w:r>
              <w:rPr>
                <w:rFonts w:ascii="Times New Roman" w:hAnsi="Times New Roman"/>
                <w:b/>
                <w:color w:val="000000"/>
                <w:sz w:val="20"/>
              </w:rPr>
              <w:t>Summary</w:t>
            </w:r>
          </w:p>
        </w:tc>
      </w:tr>
      <w:tr>
        <w:tc>
          <w:tcPr>
            <w:tcW w:type="dxa" w:w="4680"/>
          </w:tcPr>
          <w:p>
            <w:pPr>
              <w:spacing w:after="60"/>
            </w:pPr>
            <w:r>
              <w:rPr>
                <w:rFonts w:ascii="Times New Roman" w:hAnsi="Times New Roman"/>
                <w:color w:val="000000"/>
                <w:sz w:val="20"/>
              </w:rPr>
              <w:t>Knowledge score (0-9)</w:t>
            </w:r>
          </w:p>
        </w:tc>
        <w:tc>
          <w:tcPr>
            <w:tcW w:type="dxa" w:w="4680"/>
          </w:tcPr>
          <w:p>
            <w:pPr>
              <w:spacing w:after="60"/>
            </w:pPr>
            <w:r>
              <w:rPr>
                <w:rFonts w:ascii="Times New Roman" w:hAnsi="Times New Roman"/>
                <w:color w:val="000000"/>
                <w:sz w:val="20"/>
              </w:rPr>
              <w:t>Mean 6.65, Median 7.00, SD 1.22, Min 3, Max 9</w:t>
            </w:r>
          </w:p>
        </w:tc>
      </w:tr>
      <w:tr>
        <w:tc>
          <w:tcPr>
            <w:tcW w:type="dxa" w:w="4680"/>
          </w:tcPr>
          <w:p>
            <w:pPr>
              <w:spacing w:after="60"/>
            </w:pPr>
            <w:r>
              <w:rPr>
                <w:rFonts w:ascii="Times New Roman" w:hAnsi="Times New Roman"/>
                <w:color w:val="000000"/>
                <w:sz w:val="20"/>
              </w:rPr>
              <w:t>Practice score (0-7)</w:t>
            </w:r>
          </w:p>
        </w:tc>
        <w:tc>
          <w:tcPr>
            <w:tcW w:type="dxa" w:w="4680"/>
          </w:tcPr>
          <w:p>
            <w:pPr>
              <w:spacing w:after="60"/>
            </w:pPr>
            <w:r>
              <w:rPr>
                <w:rFonts w:ascii="Times New Roman" w:hAnsi="Times New Roman"/>
                <w:color w:val="000000"/>
                <w:sz w:val="20"/>
              </w:rPr>
              <w:t>Mean 5.68, Median 6.00, SD 0.58, Min 4, Max 7</w:t>
            </w:r>
          </w:p>
        </w:tc>
      </w:tr>
    </w:tbl>
    <w:p/>
    <w:p>
      <w:pPr>
        <w:jc w:val="left"/>
      </w:pPr>
      <w:r>
        <w:rPr>
          <w:rFonts w:ascii="Times New Roman" w:hAnsi="Times New Roman"/>
          <w:color w:val="000000"/>
        </w:rPr>
        <w:t>Figure 1 shows the overall score distributions.</w:t>
      </w:r>
    </w:p>
    <w:p>
      <w:pPr>
        <w:pStyle w:val="Heading3"/>
      </w:pPr>
      <w:r>
        <w:t>4.4 Scores by maternal education</w:t>
      </w:r>
    </w:p>
    <w:p>
      <w:pPr>
        <w:jc w:val="left"/>
      </w:pPr>
      <w:r>
        <w:rPr>
          <w:rFonts w:ascii="Times New Roman" w:hAnsi="Times New Roman"/>
          <w:color w:val="000000"/>
        </w:rPr>
        <w:t>Group summaries showed modest increases in mean scores across higher maternal education categories. Interpretation is limited by the pronounced imbalance among groups, particularly the single participant in the highest category. Mean knowledge scores ranged from 6.53 in the illiterate and primary categories to 8.00 in the Intermediate and above category. Mean practice scores ranged from 5.59 in the illiterate category to 6.12 in the secondary category. Table 3 presents the group summaries.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Maternal education level</w:t>
            </w:r>
          </w:p>
        </w:tc>
        <w:tc>
          <w:tcPr>
            <w:tcW w:type="dxa" w:w="1560"/>
          </w:tcPr>
          <w:p>
            <w:pPr>
              <w:spacing w:after="60"/>
            </w:pPr>
            <w:r>
              <w:rPr>
                <w:rFonts w:ascii="Times New Roman" w:hAnsi="Times New Roman"/>
                <w:b/>
                <w:color w:val="000000"/>
                <w:sz w:val="20"/>
              </w:rPr>
              <w:t>n</w:t>
            </w:r>
          </w:p>
        </w:tc>
        <w:tc>
          <w:tcPr>
            <w:tcW w:type="dxa" w:w="1560"/>
          </w:tcPr>
          <w:p>
            <w:pPr>
              <w:spacing w:after="60"/>
            </w:pPr>
            <w:r>
              <w:rPr>
                <w:rFonts w:ascii="Times New Roman" w:hAnsi="Times New Roman"/>
                <w:b/>
                <w:color w:val="000000"/>
                <w:sz w:val="20"/>
              </w:rPr>
              <w:t>Knowledge mean +/- SD</w:t>
            </w:r>
          </w:p>
        </w:tc>
        <w:tc>
          <w:tcPr>
            <w:tcW w:type="dxa" w:w="1560"/>
          </w:tcPr>
          <w:p>
            <w:pPr>
              <w:spacing w:after="60"/>
            </w:pPr>
            <w:r>
              <w:rPr>
                <w:rFonts w:ascii="Times New Roman" w:hAnsi="Times New Roman"/>
                <w:b/>
                <w:color w:val="000000"/>
                <w:sz w:val="20"/>
              </w:rPr>
              <w:t>Knowledge median (IQR)</w:t>
            </w:r>
          </w:p>
        </w:tc>
        <w:tc>
          <w:tcPr>
            <w:tcW w:type="dxa" w:w="1560"/>
          </w:tcPr>
          <w:p>
            <w:pPr>
              <w:spacing w:after="60"/>
            </w:pPr>
            <w:r>
              <w:rPr>
                <w:rFonts w:ascii="Times New Roman" w:hAnsi="Times New Roman"/>
                <w:b/>
                <w:color w:val="000000"/>
                <w:sz w:val="20"/>
              </w:rPr>
              <w:t>Practice mean +/- SD</w:t>
            </w:r>
          </w:p>
        </w:tc>
        <w:tc>
          <w:tcPr>
            <w:tcW w:type="dxa" w:w="1560"/>
          </w:tcPr>
          <w:p>
            <w:pPr>
              <w:spacing w:after="60"/>
            </w:pPr>
            <w:r>
              <w:rPr>
                <w:rFonts w:ascii="Times New Roman" w:hAnsi="Times New Roman"/>
                <w:b/>
                <w:color w:val="000000"/>
                <w:sz w:val="20"/>
              </w:rPr>
              <w:t>Practice median (IQR)</w:t>
            </w:r>
          </w:p>
        </w:tc>
      </w:tr>
      <w:tr>
        <w:tc>
          <w:tcPr>
            <w:tcW w:type="dxa" w:w="1560"/>
          </w:tcPr>
          <w:p>
            <w:pPr>
              <w:spacing w:after="60"/>
            </w:pPr>
            <w:r>
              <w:rPr>
                <w:rFonts w:ascii="Times New Roman" w:hAnsi="Times New Roman"/>
                <w:color w:val="000000"/>
                <w:sz w:val="20"/>
              </w:rPr>
              <w:t>------------------------</w:t>
            </w:r>
          </w:p>
        </w:tc>
        <w:tc>
          <w:tcPr>
            <w:tcW w:type="dxa" w:w="1560"/>
          </w:tcPr>
          <w:p>
            <w:pPr>
              <w:spacing w:after="60"/>
            </w:pPr>
            <w:r>
              <w:rPr>
                <w:rFonts w:ascii="Times New Roman" w:hAnsi="Times New Roman"/>
                <w:color w:val="000000"/>
                <w:sz w:val="20"/>
              </w:rPr>
              <w:t>--:</w:t>
            </w:r>
          </w:p>
        </w:tc>
        <w:tc>
          <w:tcPr>
            <w:tcW w:type="dxa" w:w="1560"/>
          </w:tcPr>
          <w:p>
            <w:pPr>
              <w:spacing w:after="60"/>
            </w:pPr>
            <w:r>
              <w:rPr>
                <w:rFonts w:ascii="Times New Roman" w:hAnsi="Times New Roman"/>
                <w:color w:val="000000"/>
                <w:sz w:val="20"/>
              </w:rPr>
              <w:t>--------------------:</w:t>
            </w:r>
          </w:p>
        </w:tc>
        <w:tc>
          <w:tcPr>
            <w:tcW w:type="dxa" w:w="1560"/>
          </w:tcPr>
          <w:p>
            <w:pPr>
              <w:spacing w:after="60"/>
            </w:pPr>
            <w:r>
              <w:rPr>
                <w:rFonts w:ascii="Times New Roman" w:hAnsi="Times New Roman"/>
                <w:color w:val="000000"/>
                <w:sz w:val="20"/>
              </w:rPr>
              <w:t>---------------------:</w:t>
            </w:r>
          </w:p>
        </w:tc>
        <w:tc>
          <w:tcPr>
            <w:tcW w:type="dxa" w:w="1560"/>
          </w:tcPr>
          <w:p>
            <w:pPr>
              <w:spacing w:after="60"/>
            </w:pPr>
            <w:r>
              <w:rPr>
                <w:rFonts w:ascii="Times New Roman" w:hAnsi="Times New Roman"/>
                <w:color w:val="000000"/>
                <w:sz w:val="20"/>
              </w:rPr>
              <w:t>-------------------:</w:t>
            </w:r>
          </w:p>
        </w:tc>
        <w:tc>
          <w:tcPr>
            <w:tcW w:type="dxa" w:w="1560"/>
          </w:tcPr>
          <w:p>
            <w:pPr>
              <w:spacing w:after="60"/>
            </w:pPr>
            <w:r>
              <w:rPr>
                <w:rFonts w:ascii="Times New Roman" w:hAnsi="Times New Roman"/>
                <w:color w:val="000000"/>
                <w:sz w:val="20"/>
              </w:rPr>
              <w:t>--------------------:</w:t>
            </w:r>
          </w:p>
        </w:tc>
      </w:tr>
      <w:tr>
        <w:tc>
          <w:tcPr>
            <w:tcW w:type="dxa" w:w="1560"/>
          </w:tcPr>
          <w:p>
            <w:pPr>
              <w:spacing w:after="60"/>
            </w:pPr>
            <w:r>
              <w:rPr>
                <w:rFonts w:ascii="Times New Roman" w:hAnsi="Times New Roman"/>
                <w:color w:val="000000"/>
                <w:sz w:val="20"/>
              </w:rPr>
              <w:t>Illiterate</w:t>
            </w:r>
          </w:p>
        </w:tc>
        <w:tc>
          <w:tcPr>
            <w:tcW w:type="dxa" w:w="1560"/>
          </w:tcPr>
          <w:p>
            <w:pPr>
              <w:spacing w:after="60"/>
              <w:jc w:val="right"/>
            </w:pPr>
            <w:r>
              <w:rPr>
                <w:rFonts w:ascii="Times New Roman" w:hAnsi="Times New Roman"/>
                <w:color w:val="000000"/>
                <w:sz w:val="20"/>
              </w:rPr>
              <w:t>86</w:t>
            </w:r>
          </w:p>
        </w:tc>
        <w:tc>
          <w:tcPr>
            <w:tcW w:type="dxa" w:w="1560"/>
          </w:tcPr>
          <w:p>
            <w:pPr>
              <w:spacing w:after="60"/>
            </w:pPr>
            <w:r>
              <w:rPr>
                <w:rFonts w:ascii="Times New Roman" w:hAnsi="Times New Roman"/>
                <w:color w:val="000000"/>
                <w:sz w:val="20"/>
              </w:rPr>
              <w:t>6.53 +/- 1.27</w:t>
            </w:r>
          </w:p>
        </w:tc>
        <w:tc>
          <w:tcPr>
            <w:tcW w:type="dxa" w:w="1560"/>
          </w:tcPr>
          <w:p>
            <w:pPr>
              <w:spacing w:after="60"/>
            </w:pPr>
            <w:r>
              <w:rPr>
                <w:rFonts w:ascii="Times New Roman" w:hAnsi="Times New Roman"/>
                <w:color w:val="000000"/>
                <w:sz w:val="20"/>
              </w:rPr>
              <w:t>7.0 (6.0-7.0)</w:t>
            </w:r>
          </w:p>
        </w:tc>
        <w:tc>
          <w:tcPr>
            <w:tcW w:type="dxa" w:w="1560"/>
          </w:tcPr>
          <w:p>
            <w:pPr>
              <w:spacing w:after="60"/>
            </w:pPr>
            <w:r>
              <w:rPr>
                <w:rFonts w:ascii="Times New Roman" w:hAnsi="Times New Roman"/>
                <w:color w:val="000000"/>
                <w:sz w:val="20"/>
              </w:rPr>
              <w:t>5.59 +/- 0.62</w:t>
            </w:r>
          </w:p>
        </w:tc>
        <w:tc>
          <w:tcPr>
            <w:tcW w:type="dxa" w:w="1560"/>
          </w:tcPr>
          <w:p>
            <w:pPr>
              <w:spacing w:after="60"/>
            </w:pPr>
            <w:r>
              <w:rPr>
                <w:rFonts w:ascii="Times New Roman" w:hAnsi="Times New Roman"/>
                <w:color w:val="000000"/>
                <w:sz w:val="20"/>
              </w:rPr>
              <w:t>6.0 (5.0-6.0)</w:t>
            </w:r>
          </w:p>
        </w:tc>
      </w:tr>
      <w:tr>
        <w:tc>
          <w:tcPr>
            <w:tcW w:type="dxa" w:w="1560"/>
          </w:tcPr>
          <w:p>
            <w:pPr>
              <w:spacing w:after="60"/>
            </w:pPr>
            <w:r>
              <w:rPr>
                <w:rFonts w:ascii="Times New Roman" w:hAnsi="Times New Roman"/>
                <w:color w:val="000000"/>
                <w:sz w:val="20"/>
              </w:rPr>
              <w:t>Primary</w:t>
            </w:r>
          </w:p>
        </w:tc>
        <w:tc>
          <w:tcPr>
            <w:tcW w:type="dxa" w:w="1560"/>
          </w:tcPr>
          <w:p>
            <w:pPr>
              <w:spacing w:after="60"/>
              <w:jc w:val="right"/>
            </w:pPr>
            <w:r>
              <w:rPr>
                <w:rFonts w:ascii="Times New Roman" w:hAnsi="Times New Roman"/>
                <w:color w:val="000000"/>
                <w:sz w:val="20"/>
              </w:rPr>
              <w:t>17</w:t>
            </w:r>
          </w:p>
        </w:tc>
        <w:tc>
          <w:tcPr>
            <w:tcW w:type="dxa" w:w="1560"/>
          </w:tcPr>
          <w:p>
            <w:pPr>
              <w:spacing w:after="60"/>
            </w:pPr>
            <w:r>
              <w:rPr>
                <w:rFonts w:ascii="Times New Roman" w:hAnsi="Times New Roman"/>
                <w:color w:val="000000"/>
                <w:sz w:val="20"/>
              </w:rPr>
              <w:t>6.53 +/- 1.23</w:t>
            </w:r>
          </w:p>
        </w:tc>
        <w:tc>
          <w:tcPr>
            <w:tcW w:type="dxa" w:w="1560"/>
          </w:tcPr>
          <w:p>
            <w:pPr>
              <w:spacing w:after="60"/>
            </w:pPr>
            <w:r>
              <w:rPr>
                <w:rFonts w:ascii="Times New Roman" w:hAnsi="Times New Roman"/>
                <w:color w:val="000000"/>
                <w:sz w:val="20"/>
              </w:rPr>
              <w:t>7.0 (7.0-7.0)</w:t>
            </w:r>
          </w:p>
        </w:tc>
        <w:tc>
          <w:tcPr>
            <w:tcW w:type="dxa" w:w="1560"/>
          </w:tcPr>
          <w:p>
            <w:pPr>
              <w:spacing w:after="60"/>
            </w:pPr>
            <w:r>
              <w:rPr>
                <w:rFonts w:ascii="Times New Roman" w:hAnsi="Times New Roman"/>
                <w:color w:val="000000"/>
                <w:sz w:val="20"/>
              </w:rPr>
              <w:t>5.76 +/- 0.44</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Middle</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7.38 +/- 0.52</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6.00 +/- 0.00</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Secondary</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7.25 +/- 0.71</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6.12 +/- 0.35</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Intermediate and above</w:t>
            </w:r>
          </w:p>
        </w:tc>
        <w:tc>
          <w:tcPr>
            <w:tcW w:type="dxa" w:w="1560"/>
          </w:tcPr>
          <w:p>
            <w:pPr>
              <w:spacing w:after="60"/>
              <w:jc w:val="right"/>
            </w:pPr>
            <w:r>
              <w:rPr>
                <w:rFonts w:ascii="Times New Roman" w:hAnsi="Times New Roman"/>
                <w:color w:val="000000"/>
                <w:sz w:val="20"/>
              </w:rPr>
              <w:t>1</w:t>
            </w:r>
          </w:p>
        </w:tc>
        <w:tc>
          <w:tcPr>
            <w:tcW w:type="dxa" w:w="1560"/>
          </w:tcPr>
          <w:p>
            <w:pPr>
              <w:spacing w:after="60"/>
              <w:jc w:val="right"/>
            </w:pPr>
            <w:r>
              <w:rPr>
                <w:rFonts w:ascii="Times New Roman" w:hAnsi="Times New Roman"/>
                <w:color w:val="000000"/>
                <w:sz w:val="20"/>
              </w:rPr>
              <w:t>8.00</w:t>
            </w:r>
          </w:p>
        </w:tc>
        <w:tc>
          <w:tcPr>
            <w:tcW w:type="dxa" w:w="1560"/>
          </w:tcPr>
          <w:p>
            <w:pPr>
              <w:spacing w:after="60"/>
            </w:pPr>
            <w:r>
              <w:rPr>
                <w:rFonts w:ascii="Times New Roman" w:hAnsi="Times New Roman"/>
                <w:color w:val="000000"/>
                <w:sz w:val="20"/>
              </w:rPr>
              <w:t>8.0 (single value)</w:t>
            </w:r>
          </w:p>
        </w:tc>
        <w:tc>
          <w:tcPr>
            <w:tcW w:type="dxa" w:w="1560"/>
          </w:tcPr>
          <w:p>
            <w:pPr>
              <w:spacing w:after="60"/>
              <w:jc w:val="right"/>
            </w:pPr>
            <w:r>
              <w:rPr>
                <w:rFonts w:ascii="Times New Roman" w:hAnsi="Times New Roman"/>
                <w:color w:val="000000"/>
                <w:sz w:val="20"/>
              </w:rPr>
              <w:t>6.00</w:t>
            </w:r>
          </w:p>
        </w:tc>
        <w:tc>
          <w:tcPr>
            <w:tcW w:type="dxa" w:w="1560"/>
          </w:tcPr>
          <w:p>
            <w:pPr>
              <w:spacing w:after="60"/>
            </w:pPr>
            <w:r>
              <w:rPr>
                <w:rFonts w:ascii="Times New Roman" w:hAnsi="Times New Roman"/>
                <w:color w:val="000000"/>
                <w:sz w:val="20"/>
              </w:rPr>
              <w:t>6.0 (single value)</w:t>
            </w:r>
          </w:p>
        </w:tc>
      </w:tr>
    </w:tbl>
    <w:p/>
    <w:p>
      <w:pPr>
        <w:jc w:val="left"/>
      </w:pPr>
      <w:r>
        <w:rPr>
          <w:rFonts w:ascii="Times New Roman" w:hAnsi="Times New Roman"/>
          <w:color w:val="000000"/>
        </w:rPr>
        <w:t>Figures 2 and 3 display these group patterns as bar plots with error bars and as box plots.</w:t>
      </w:r>
    </w:p>
    <w:p>
      <w:pPr>
        <w:pStyle w:val="Heading3"/>
      </w:pPr>
      <w:r>
        <w:t>4.5 Inferential analysis for maternal education</w:t>
      </w:r>
    </w:p>
    <w:p>
      <w:pPr>
        <w:jc w:val="left"/>
      </w:pPr>
      <w:r>
        <w:rPr>
          <w:rFonts w:ascii="Times New Roman" w:hAnsi="Times New Roman"/>
          <w:color w:val="000000"/>
        </w:rPr>
        <w:t>The assumption checks did not support parametric group comparisons. Kruskal-Wallis tests were therefore used for both outcomes. Practice scores differed significantly across maternal education groups in the primary unadjusted comparison (H = 10.1562, p = 0.0379, epsilon-squared = 0.0853). The omnibus knowledge-score comparison was not statistically significant (H = 8.0427, p = 0.0900, epsilon-squared = 0.0676). A conservative exploratory Holm sensitivity correction gave an adjusted practice p-value of 0.0758. The significant result for practice and non-significant result for knowledge do not establish that the two associations differ. Table 4 gives the inferential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Outcome</w:t>
            </w:r>
          </w:p>
        </w:tc>
        <w:tc>
          <w:tcPr>
            <w:tcW w:type="dxa" w:w="1560"/>
          </w:tcPr>
          <w:p>
            <w:pPr>
              <w:spacing w:after="60"/>
            </w:pPr>
            <w:r>
              <w:rPr>
                <w:rFonts w:ascii="Times New Roman" w:hAnsi="Times New Roman"/>
                <w:b/>
                <w:color w:val="000000"/>
                <w:sz w:val="20"/>
              </w:rPr>
              <w:t>Test</w:t>
            </w:r>
          </w:p>
        </w:tc>
        <w:tc>
          <w:tcPr>
            <w:tcW w:type="dxa" w:w="1560"/>
          </w:tcPr>
          <w:p>
            <w:pPr>
              <w:spacing w:after="60"/>
            </w:pPr>
            <w:r>
              <w:rPr>
                <w:rFonts w:ascii="Times New Roman" w:hAnsi="Times New Roman"/>
                <w:b/>
                <w:color w:val="000000"/>
                <w:sz w:val="20"/>
              </w:rPr>
              <w:t>Statistic</w:t>
            </w:r>
          </w:p>
        </w:tc>
        <w:tc>
          <w:tcPr>
            <w:tcW w:type="dxa" w:w="1560"/>
          </w:tcPr>
          <w:p>
            <w:pPr>
              <w:spacing w:after="60"/>
            </w:pPr>
            <w:r>
              <w:rPr>
                <w:rFonts w:ascii="Times New Roman" w:hAnsi="Times New Roman"/>
                <w:b/>
                <w:color w:val="000000"/>
                <w:sz w:val="20"/>
              </w:rPr>
              <w:t>p-value</w:t>
            </w:r>
          </w:p>
        </w:tc>
        <w:tc>
          <w:tcPr>
            <w:tcW w:type="dxa" w:w="1560"/>
          </w:tcPr>
          <w:p>
            <w:pPr>
              <w:spacing w:after="60"/>
            </w:pPr>
            <w:r>
              <w:rPr>
                <w:rFonts w:ascii="Times New Roman" w:hAnsi="Times New Roman"/>
                <w:b/>
                <w:color w:val="000000"/>
                <w:sz w:val="20"/>
              </w:rPr>
              <w:t>Effect size (epsilon-squared)</w:t>
            </w:r>
          </w:p>
        </w:tc>
        <w:tc>
          <w:tcPr>
            <w:tcW w:type="dxa" w:w="1560"/>
          </w:tcPr>
          <w:p>
            <w:pPr>
              <w:spacing w:after="60"/>
            </w:pPr>
            <w:r>
              <w:rPr>
                <w:rFonts w:ascii="Times New Roman" w:hAnsi="Times New Roman"/>
                <w:b/>
                <w:color w:val="000000"/>
                <w:sz w:val="20"/>
              </w:rPr>
              <w:t>Interpretation</w:t>
            </w:r>
          </w:p>
        </w:tc>
      </w:tr>
      <w:tr>
        <w:tc>
          <w:tcPr>
            <w:tcW w:type="dxa" w:w="1560"/>
          </w:tcPr>
          <w:p>
            <w:pPr>
              <w:spacing w:after="60"/>
            </w:pPr>
            <w:r>
              <w:rPr>
                <w:rFonts w:ascii="Times New Roman" w:hAnsi="Times New Roman"/>
                <w:color w:val="000000"/>
                <w:sz w:val="20"/>
              </w:rPr>
              <w:t>Knowledge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8.0427</w:t>
            </w:r>
          </w:p>
        </w:tc>
        <w:tc>
          <w:tcPr>
            <w:tcW w:type="dxa" w:w="1560"/>
          </w:tcPr>
          <w:p>
            <w:pPr>
              <w:spacing w:after="60"/>
              <w:jc w:val="right"/>
            </w:pPr>
            <w:r>
              <w:rPr>
                <w:rFonts w:ascii="Times New Roman" w:hAnsi="Times New Roman"/>
                <w:color w:val="000000"/>
                <w:sz w:val="20"/>
              </w:rPr>
              <w:t>0.0900</w:t>
            </w:r>
          </w:p>
        </w:tc>
        <w:tc>
          <w:tcPr>
            <w:tcW w:type="dxa" w:w="1560"/>
          </w:tcPr>
          <w:p>
            <w:pPr>
              <w:spacing w:after="60"/>
              <w:jc w:val="right"/>
            </w:pPr>
            <w:r>
              <w:rPr>
                <w:rFonts w:ascii="Times New Roman" w:hAnsi="Times New Roman"/>
                <w:color w:val="000000"/>
                <w:sz w:val="20"/>
              </w:rPr>
              <w:t>0.0676</w:t>
            </w:r>
          </w:p>
        </w:tc>
        <w:tc>
          <w:tcPr>
            <w:tcW w:type="dxa" w:w="1560"/>
          </w:tcPr>
          <w:p>
            <w:pPr>
              <w:spacing w:after="60"/>
            </w:pPr>
            <w:r>
              <w:rPr>
                <w:rFonts w:ascii="Times New Roman" w:hAnsi="Times New Roman"/>
                <w:color w:val="000000"/>
                <w:sz w:val="20"/>
              </w:rPr>
              <w:t>Omnibus comparison not statistically significant</w:t>
            </w:r>
          </w:p>
        </w:tc>
      </w:tr>
      <w:tr>
        <w:tc>
          <w:tcPr>
            <w:tcW w:type="dxa" w:w="1560"/>
          </w:tcPr>
          <w:p>
            <w:pPr>
              <w:spacing w:after="60"/>
            </w:pPr>
            <w:r>
              <w:rPr>
                <w:rFonts w:ascii="Times New Roman" w:hAnsi="Times New Roman"/>
                <w:color w:val="000000"/>
                <w:sz w:val="20"/>
              </w:rPr>
              <w:t>Practice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10.1562</w:t>
            </w:r>
          </w:p>
        </w:tc>
        <w:tc>
          <w:tcPr>
            <w:tcW w:type="dxa" w:w="1560"/>
          </w:tcPr>
          <w:p>
            <w:pPr>
              <w:spacing w:after="60"/>
              <w:jc w:val="right"/>
            </w:pPr>
            <w:r>
              <w:rPr>
                <w:rFonts w:ascii="Times New Roman" w:hAnsi="Times New Roman"/>
                <w:color w:val="000000"/>
                <w:sz w:val="20"/>
              </w:rPr>
              <w:t>0.0379</w:t>
            </w:r>
          </w:p>
        </w:tc>
        <w:tc>
          <w:tcPr>
            <w:tcW w:type="dxa" w:w="1560"/>
          </w:tcPr>
          <w:p>
            <w:pPr>
              <w:spacing w:after="60"/>
              <w:jc w:val="right"/>
            </w:pPr>
            <w:r>
              <w:rPr>
                <w:rFonts w:ascii="Times New Roman" w:hAnsi="Times New Roman"/>
                <w:color w:val="000000"/>
                <w:sz w:val="20"/>
              </w:rPr>
              <w:t>0.0853</w:t>
            </w:r>
          </w:p>
        </w:tc>
        <w:tc>
          <w:tcPr>
            <w:tcW w:type="dxa" w:w="1560"/>
          </w:tcPr>
          <w:p>
            <w:pPr>
              <w:spacing w:after="60"/>
            </w:pPr>
            <w:r>
              <w:rPr>
                <w:rFonts w:ascii="Times New Roman" w:hAnsi="Times New Roman"/>
                <w:color w:val="000000"/>
                <w:sz w:val="20"/>
              </w:rPr>
              <w:t>Statistically significant unadjusted; exploratory Holm-adjusted p = 0.0758</w:t>
            </w:r>
          </w:p>
        </w:tc>
      </w:tr>
    </w:tbl>
    <w:p/>
    <w:p>
      <w:pPr>
        <w:pStyle w:val="Heading3"/>
      </w:pPr>
      <w:r>
        <w:t>4.6 Correlation analysis</w:t>
      </w:r>
    </w:p>
    <w:p>
      <w:pPr>
        <w:jc w:val="left"/>
      </w:pPr>
      <w:r>
        <w:rPr>
          <w:rFonts w:ascii="Times New Roman" w:hAnsi="Times New Roman"/>
          <w:color w:val="000000"/>
        </w:rPr>
        <w:t>In the Pearson complete-case analysis, age was positively correlated with knowledge (r = 0.314, p = 0.0005) and practice (r = 0.267, p = 0.0032). Knowledge and practice were also positively correlated (r = 0.317, p = 0.0004). Family size was negatively correlated with knowledge (r = -0.201, p = 0.0279). Neither household income nor per-capita income was significantly correlated with either score in the Pearson analysis. These findings are exploratory because multiple correlations were examined without adjustment. Correlations involving total score were not interpreted because total score is derived mathematically from the knowledge and practice scores. Table 5 presents the score-related correlations.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Variable pair</w:t>
            </w:r>
          </w:p>
        </w:tc>
        <w:tc>
          <w:tcPr>
            <w:tcW w:type="dxa" w:w="2340"/>
          </w:tcPr>
          <w:p>
            <w:pPr>
              <w:spacing w:after="60"/>
            </w:pPr>
            <w:r>
              <w:rPr>
                <w:rFonts w:ascii="Times New Roman" w:hAnsi="Times New Roman"/>
                <w:b/>
                <w:color w:val="000000"/>
                <w:sz w:val="20"/>
              </w:rPr>
              <w:t>r</w:t>
            </w:r>
          </w:p>
        </w:tc>
        <w:tc>
          <w:tcPr>
            <w:tcW w:type="dxa" w:w="2340"/>
          </w:tcPr>
          <w:p>
            <w:pPr>
              <w:spacing w:after="60"/>
            </w:pPr>
            <w:r>
              <w:rPr>
                <w:rFonts w:ascii="Times New Roman" w:hAnsi="Times New Roman"/>
                <w:b/>
                <w:color w:val="000000"/>
                <w:sz w:val="20"/>
              </w:rPr>
              <w:t>p-value</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Age vs Knowledge score</w:t>
            </w:r>
          </w:p>
        </w:tc>
        <w:tc>
          <w:tcPr>
            <w:tcW w:type="dxa" w:w="2340"/>
          </w:tcPr>
          <w:p>
            <w:pPr>
              <w:spacing w:after="60"/>
              <w:jc w:val="right"/>
            </w:pPr>
            <w:r>
              <w:rPr>
                <w:rFonts w:ascii="Times New Roman" w:hAnsi="Times New Roman"/>
                <w:color w:val="000000"/>
                <w:sz w:val="20"/>
              </w:rPr>
              <w:t>0.314</w:t>
            </w:r>
          </w:p>
        </w:tc>
        <w:tc>
          <w:tcPr>
            <w:tcW w:type="dxa" w:w="2340"/>
          </w:tcPr>
          <w:p>
            <w:pPr>
              <w:spacing w:after="60"/>
              <w:jc w:val="right"/>
            </w:pPr>
            <w:r>
              <w:rPr>
                <w:rFonts w:ascii="Times New Roman" w:hAnsi="Times New Roman"/>
                <w:color w:val="000000"/>
                <w:sz w:val="20"/>
              </w:rPr>
              <w:t>0.0005</w:t>
            </w:r>
          </w:p>
        </w:tc>
        <w:tc>
          <w:tcPr>
            <w:tcW w:type="dxa" w:w="2340"/>
          </w:tcPr>
          <w:p>
            <w:pPr>
              <w:spacing w:after="60"/>
            </w:pPr>
            <w:r>
              <w:rPr>
                <w:rFonts w:ascii="Times New Roman" w:hAnsi="Times New Roman"/>
                <w:color w:val="000000"/>
                <w:sz w:val="20"/>
              </w:rPr>
              <w:t>Moderate positive association</w:t>
            </w:r>
          </w:p>
        </w:tc>
      </w:tr>
      <w:tr>
        <w:tc>
          <w:tcPr>
            <w:tcW w:type="dxa" w:w="2340"/>
          </w:tcPr>
          <w:p>
            <w:pPr>
              <w:spacing w:after="60"/>
            </w:pPr>
            <w:r>
              <w:rPr>
                <w:rFonts w:ascii="Times New Roman" w:hAnsi="Times New Roman"/>
                <w:color w:val="000000"/>
                <w:sz w:val="20"/>
              </w:rPr>
              <w:t>Knowledge score vs Practice score</w:t>
            </w:r>
          </w:p>
        </w:tc>
        <w:tc>
          <w:tcPr>
            <w:tcW w:type="dxa" w:w="2340"/>
          </w:tcPr>
          <w:p>
            <w:pPr>
              <w:spacing w:after="60"/>
              <w:jc w:val="right"/>
            </w:pPr>
            <w:r>
              <w:rPr>
                <w:rFonts w:ascii="Times New Roman" w:hAnsi="Times New Roman"/>
                <w:color w:val="000000"/>
                <w:sz w:val="20"/>
              </w:rPr>
              <w:t>0.317</w:t>
            </w:r>
          </w:p>
        </w:tc>
        <w:tc>
          <w:tcPr>
            <w:tcW w:type="dxa" w:w="2340"/>
          </w:tcPr>
          <w:p>
            <w:pPr>
              <w:spacing w:after="60"/>
              <w:jc w:val="right"/>
            </w:pPr>
            <w:r>
              <w:rPr>
                <w:rFonts w:ascii="Times New Roman" w:hAnsi="Times New Roman"/>
                <w:color w:val="000000"/>
                <w:sz w:val="20"/>
              </w:rPr>
              <w:t>0.0004</w:t>
            </w:r>
          </w:p>
        </w:tc>
        <w:tc>
          <w:tcPr>
            <w:tcW w:type="dxa" w:w="2340"/>
          </w:tcPr>
          <w:p>
            <w:pPr>
              <w:spacing w:after="60"/>
            </w:pPr>
            <w:r>
              <w:rPr>
                <w:rFonts w:ascii="Times New Roman" w:hAnsi="Times New Roman"/>
                <w:color w:val="000000"/>
                <w:sz w:val="20"/>
              </w:rPr>
              <w:t>Weak-to-moderate positive association</w:t>
            </w:r>
          </w:p>
        </w:tc>
      </w:tr>
      <w:tr>
        <w:tc>
          <w:tcPr>
            <w:tcW w:type="dxa" w:w="2340"/>
          </w:tcPr>
          <w:p>
            <w:pPr>
              <w:spacing w:after="60"/>
            </w:pPr>
            <w:r>
              <w:rPr>
                <w:rFonts w:ascii="Times New Roman" w:hAnsi="Times New Roman"/>
                <w:color w:val="000000"/>
                <w:sz w:val="20"/>
              </w:rPr>
              <w:t>Age vs Practice score</w:t>
            </w:r>
          </w:p>
        </w:tc>
        <w:tc>
          <w:tcPr>
            <w:tcW w:type="dxa" w:w="2340"/>
          </w:tcPr>
          <w:p>
            <w:pPr>
              <w:spacing w:after="60"/>
              <w:jc w:val="right"/>
            </w:pPr>
            <w:r>
              <w:rPr>
                <w:rFonts w:ascii="Times New Roman" w:hAnsi="Times New Roman"/>
                <w:color w:val="000000"/>
                <w:sz w:val="20"/>
              </w:rPr>
              <w:t>0.267</w:t>
            </w:r>
          </w:p>
        </w:tc>
        <w:tc>
          <w:tcPr>
            <w:tcW w:type="dxa" w:w="2340"/>
          </w:tcPr>
          <w:p>
            <w:pPr>
              <w:spacing w:after="60"/>
              <w:jc w:val="right"/>
            </w:pPr>
            <w:r>
              <w:rPr>
                <w:rFonts w:ascii="Times New Roman" w:hAnsi="Times New Roman"/>
                <w:color w:val="000000"/>
                <w:sz w:val="20"/>
              </w:rPr>
              <w:t>0.0032</w:t>
            </w:r>
          </w:p>
        </w:tc>
        <w:tc>
          <w:tcPr>
            <w:tcW w:type="dxa" w:w="2340"/>
          </w:tcPr>
          <w:p>
            <w:pPr>
              <w:spacing w:after="60"/>
            </w:pPr>
            <w:r>
              <w:rPr>
                <w:rFonts w:ascii="Times New Roman" w:hAnsi="Times New Roman"/>
                <w:color w:val="000000"/>
                <w:sz w:val="20"/>
              </w:rPr>
              <w:t>Weak positive association</w:t>
            </w:r>
          </w:p>
        </w:tc>
      </w:tr>
      <w:tr>
        <w:tc>
          <w:tcPr>
            <w:tcW w:type="dxa" w:w="2340"/>
          </w:tcPr>
          <w:p>
            <w:pPr>
              <w:spacing w:after="60"/>
            </w:pPr>
            <w:r>
              <w:rPr>
                <w:rFonts w:ascii="Times New Roman" w:hAnsi="Times New Roman"/>
                <w:color w:val="000000"/>
                <w:sz w:val="20"/>
              </w:rPr>
              <w:t>Family size vs Knowledge score</w:t>
            </w:r>
          </w:p>
        </w:tc>
        <w:tc>
          <w:tcPr>
            <w:tcW w:type="dxa" w:w="2340"/>
          </w:tcPr>
          <w:p>
            <w:pPr>
              <w:spacing w:after="60"/>
              <w:jc w:val="right"/>
            </w:pPr>
            <w:r>
              <w:rPr>
                <w:rFonts w:ascii="Times New Roman" w:hAnsi="Times New Roman"/>
                <w:color w:val="000000"/>
                <w:sz w:val="20"/>
              </w:rPr>
              <w:t>-0.201</w:t>
            </w:r>
          </w:p>
        </w:tc>
        <w:tc>
          <w:tcPr>
            <w:tcW w:type="dxa" w:w="2340"/>
          </w:tcPr>
          <w:p>
            <w:pPr>
              <w:spacing w:after="60"/>
              <w:jc w:val="right"/>
            </w:pPr>
            <w:r>
              <w:rPr>
                <w:rFonts w:ascii="Times New Roman" w:hAnsi="Times New Roman"/>
                <w:color w:val="000000"/>
                <w:sz w:val="20"/>
              </w:rPr>
              <w:t>0.0279</w:t>
            </w:r>
          </w:p>
        </w:tc>
        <w:tc>
          <w:tcPr>
            <w:tcW w:type="dxa" w:w="2340"/>
          </w:tcPr>
          <w:p>
            <w:pPr>
              <w:spacing w:after="60"/>
            </w:pPr>
            <w:r>
              <w:rPr>
                <w:rFonts w:ascii="Times New Roman" w:hAnsi="Times New Roman"/>
                <w:color w:val="000000"/>
                <w:sz w:val="20"/>
              </w:rPr>
              <w:t>Weak negative association</w:t>
            </w:r>
          </w:p>
        </w:tc>
      </w:tr>
      <w:tr>
        <w:tc>
          <w:tcPr>
            <w:tcW w:type="dxa" w:w="2340"/>
          </w:tcPr>
          <w:p>
            <w:pPr>
              <w:spacing w:after="60"/>
            </w:pPr>
            <w:r>
              <w:rPr>
                <w:rFonts w:ascii="Times New Roman" w:hAnsi="Times New Roman"/>
                <w:color w:val="000000"/>
                <w:sz w:val="20"/>
              </w:rPr>
              <w:t>Family size vs Practice score</w:t>
            </w:r>
          </w:p>
        </w:tc>
        <w:tc>
          <w:tcPr>
            <w:tcW w:type="dxa" w:w="2340"/>
          </w:tcPr>
          <w:p>
            <w:pPr>
              <w:spacing w:after="60"/>
              <w:jc w:val="right"/>
            </w:pPr>
            <w:r>
              <w:rPr>
                <w:rFonts w:ascii="Times New Roman" w:hAnsi="Times New Roman"/>
                <w:color w:val="000000"/>
                <w:sz w:val="20"/>
              </w:rPr>
              <w:t>-0.165</w:t>
            </w:r>
          </w:p>
        </w:tc>
        <w:tc>
          <w:tcPr>
            <w:tcW w:type="dxa" w:w="2340"/>
          </w:tcPr>
          <w:p>
            <w:pPr>
              <w:spacing w:after="60"/>
              <w:jc w:val="right"/>
            </w:pPr>
            <w:r>
              <w:rPr>
                <w:rFonts w:ascii="Times New Roman" w:hAnsi="Times New Roman"/>
                <w:color w:val="000000"/>
                <w:sz w:val="20"/>
              </w:rPr>
              <w:t>0.0725</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Knowledge score</w:t>
            </w:r>
          </w:p>
        </w:tc>
        <w:tc>
          <w:tcPr>
            <w:tcW w:type="dxa" w:w="2340"/>
          </w:tcPr>
          <w:p>
            <w:pPr>
              <w:spacing w:after="60"/>
              <w:jc w:val="right"/>
            </w:pPr>
            <w:r>
              <w:rPr>
                <w:rFonts w:ascii="Times New Roman" w:hAnsi="Times New Roman"/>
                <w:color w:val="000000"/>
                <w:sz w:val="20"/>
              </w:rPr>
              <w:t>-0.042</w:t>
            </w:r>
          </w:p>
        </w:tc>
        <w:tc>
          <w:tcPr>
            <w:tcW w:type="dxa" w:w="2340"/>
          </w:tcPr>
          <w:p>
            <w:pPr>
              <w:spacing w:after="60"/>
              <w:jc w:val="right"/>
            </w:pPr>
            <w:r>
              <w:rPr>
                <w:rFonts w:ascii="Times New Roman" w:hAnsi="Times New Roman"/>
                <w:color w:val="000000"/>
                <w:sz w:val="20"/>
              </w:rPr>
              <w:t>0.6501</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Practice score</w:t>
            </w:r>
          </w:p>
        </w:tc>
        <w:tc>
          <w:tcPr>
            <w:tcW w:type="dxa" w:w="2340"/>
          </w:tcPr>
          <w:p>
            <w:pPr>
              <w:spacing w:after="60"/>
              <w:jc w:val="right"/>
            </w:pPr>
            <w:r>
              <w:rPr>
                <w:rFonts w:ascii="Times New Roman" w:hAnsi="Times New Roman"/>
                <w:color w:val="000000"/>
                <w:sz w:val="20"/>
              </w:rPr>
              <w:t>-0.122</w:t>
            </w:r>
          </w:p>
        </w:tc>
        <w:tc>
          <w:tcPr>
            <w:tcW w:type="dxa" w:w="2340"/>
          </w:tcPr>
          <w:p>
            <w:pPr>
              <w:spacing w:after="60"/>
              <w:jc w:val="right"/>
            </w:pPr>
            <w:r>
              <w:rPr>
                <w:rFonts w:ascii="Times New Roman" w:hAnsi="Times New Roman"/>
                <w:color w:val="000000"/>
                <w:sz w:val="20"/>
              </w:rPr>
              <w:t>0.1834</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Knowledge score</w:t>
            </w:r>
          </w:p>
        </w:tc>
        <w:tc>
          <w:tcPr>
            <w:tcW w:type="dxa" w:w="2340"/>
          </w:tcPr>
          <w:p>
            <w:pPr>
              <w:spacing w:after="60"/>
              <w:jc w:val="right"/>
            </w:pPr>
            <w:r>
              <w:rPr>
                <w:rFonts w:ascii="Times New Roman" w:hAnsi="Times New Roman"/>
                <w:color w:val="000000"/>
                <w:sz w:val="20"/>
              </w:rPr>
              <w:t>0.040</w:t>
            </w:r>
          </w:p>
        </w:tc>
        <w:tc>
          <w:tcPr>
            <w:tcW w:type="dxa" w:w="2340"/>
          </w:tcPr>
          <w:p>
            <w:pPr>
              <w:spacing w:after="60"/>
              <w:jc w:val="right"/>
            </w:pPr>
            <w:r>
              <w:rPr>
                <w:rFonts w:ascii="Times New Roman" w:hAnsi="Times New Roman"/>
                <w:color w:val="000000"/>
                <w:sz w:val="20"/>
              </w:rPr>
              <w:t>0.6637</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Practice score</w:t>
            </w:r>
          </w:p>
        </w:tc>
        <w:tc>
          <w:tcPr>
            <w:tcW w:type="dxa" w:w="2340"/>
          </w:tcPr>
          <w:p>
            <w:pPr>
              <w:spacing w:after="60"/>
              <w:jc w:val="right"/>
            </w:pPr>
            <w:r>
              <w:rPr>
                <w:rFonts w:ascii="Times New Roman" w:hAnsi="Times New Roman"/>
                <w:color w:val="000000"/>
                <w:sz w:val="20"/>
              </w:rPr>
              <w:t>-0.077</w:t>
            </w:r>
          </w:p>
        </w:tc>
        <w:tc>
          <w:tcPr>
            <w:tcW w:type="dxa" w:w="2340"/>
          </w:tcPr>
          <w:p>
            <w:pPr>
              <w:spacing w:after="60"/>
              <w:jc w:val="right"/>
            </w:pPr>
            <w:r>
              <w:rPr>
                <w:rFonts w:ascii="Times New Roman" w:hAnsi="Times New Roman"/>
                <w:color w:val="000000"/>
                <w:sz w:val="20"/>
              </w:rPr>
              <w:t>0.4040</w:t>
            </w:r>
          </w:p>
        </w:tc>
        <w:tc>
          <w:tcPr>
            <w:tcW w:type="dxa" w:w="2340"/>
          </w:tcPr>
          <w:p>
            <w:pPr>
              <w:spacing w:after="60"/>
            </w:pPr>
            <w:r>
              <w:rPr>
                <w:rFonts w:ascii="Times New Roman" w:hAnsi="Times New Roman"/>
                <w:color w:val="000000"/>
                <w:sz w:val="20"/>
              </w:rPr>
              <w:t>Not significant</w:t>
            </w:r>
          </w:p>
        </w:tc>
      </w:tr>
    </w:tbl>
    <w:p/>
    <w:p>
      <w:pPr>
        <w:jc w:val="left"/>
      </w:pPr>
      <w:r>
        <w:rPr>
          <w:rFonts w:ascii="Times New Roman" w:hAnsi="Times New Roman"/>
          <w:color w:val="000000"/>
        </w:rPr>
        <w:t>Figure 4 shows a scatter matrix of the continuous-variable relationships.</w:t>
      </w:r>
    </w:p>
    <w:p>
      <w:pPr>
        <w:pStyle w:val="Heading3"/>
      </w:pPr>
      <w:r>
        <w:t>4.7 Data quality and sensitivity analyses</w:t>
      </w:r>
    </w:p>
    <w:p>
      <w:pPr>
        <w:jc w:val="left"/>
      </w:pPr>
      <w:r>
        <w:rPr>
          <w:rFonts w:ascii="Times New Roman" w:hAnsi="Times New Roman"/>
          <w:color w:val="000000"/>
        </w:rPr>
        <w:t>After processing, 550 cells were missing and six categorical responses were outside the labeled domains among 4,920 cells in the transformed 41-column dataset. The overall issue-free cell rate was therefore 88.70%. This denominator includes optional free-text fields and five derived fields. The out-of-label values were three maternal occupation codes of 3, two menstruation-process codes of 5, and one handwashing code of 3. Core issue-free cell rate was 99.70% after conditional and skip-logic variables were excluded. The family-size check found no differences between reported total family size and the sum of male and female family members.</w:t>
      </w:r>
    </w:p>
    <w:p>
      <w:pPr>
        <w:jc w:val="left"/>
      </w:pPr>
      <w:r>
        <w:rPr>
          <w:rFonts w:ascii="Times New Roman" w:hAnsi="Times New Roman"/>
          <w:color w:val="000000"/>
        </w:rPr>
        <w:t>Excluding the one participant in the highest maternal education category did not materially change the findings. The knowledge comparison remained non-significant (H = 6.3719, p = 0.0949, epsilon-squared = 0.0540), and the unadjusted practice comparison remained below 0.05 (H = 9.7515, p = 0.0208, epsilon-squared = 0.0826). However, the analysis restricted to 115 participants with complete responses on all seven practice items was not statistically significant (H = 8.6488, p = 0.0705). The statistically significant primary practice result was therefore sensitive to the prespecified missing-as-zero rule.</w:t>
      </w:r>
    </w:p>
    <w:p>
      <w:pPr>
        <w:jc w:val="left"/>
      </w:pPr>
      <w:r>
        <w:rPr>
          <w:rFonts w:ascii="Times New Roman" w:hAnsi="Times New Roman"/>
          <w:color w:val="000000"/>
        </w:rPr>
        <w:t>When maternal education was treated as ordinal, it had positive rank correlations with knowledge (rho = 0.2023, p = 0.0267) and practice (rho = 0.2684, p = 0.0030). These exploratory trend tests were not corrected for multiple testing. Age differed among maternal education groups (H = 10.6913, p = 0.0303), so age is a plausible confounder. Spearman analyses retained positive associations between age and knowledge (rho = 0.3710, p &lt; 0.001) and between knowledge and practice (rho = 0.3650, p &lt; 0.001). In contrast to the Pearson result, the Spearman analysis found a weak positive association between income and knowledge (rho = 0.2160, p = 0.0178), while income and practice remained non-significant. Use of the original pathological-response key rather than the corrected physiological-response coding gave a mean knowledge score of 5.82 and a non-significant omnibus comparison (H = 5.8669, p = 0.2093, epsilon-squared = 0.0493). Table 6 summarizes the sensitivity analyses.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Sensitivity analysis</w:t>
            </w:r>
          </w:p>
        </w:tc>
        <w:tc>
          <w:tcPr>
            <w:tcW w:type="dxa" w:w="2340"/>
          </w:tcPr>
          <w:p>
            <w:pPr>
              <w:spacing w:after="60"/>
            </w:pPr>
            <w:r>
              <w:rPr>
                <w:rFonts w:ascii="Times New Roman" w:hAnsi="Times New Roman"/>
                <w:b/>
                <w:color w:val="000000"/>
                <w:sz w:val="20"/>
              </w:rPr>
              <w:t>Knowledge result</w:t>
            </w:r>
          </w:p>
        </w:tc>
        <w:tc>
          <w:tcPr>
            <w:tcW w:type="dxa" w:w="2340"/>
          </w:tcPr>
          <w:p>
            <w:pPr>
              <w:spacing w:after="60"/>
            </w:pPr>
            <w:r>
              <w:rPr>
                <w:rFonts w:ascii="Times New Roman" w:hAnsi="Times New Roman"/>
                <w:b/>
                <w:color w:val="000000"/>
                <w:sz w:val="20"/>
              </w:rPr>
              <w:t>Practice result</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Excluding maternal education level 5 (n = 1)</w:t>
            </w:r>
          </w:p>
        </w:tc>
        <w:tc>
          <w:tcPr>
            <w:tcW w:type="dxa" w:w="2340"/>
          </w:tcPr>
          <w:p>
            <w:pPr>
              <w:spacing w:after="60"/>
            </w:pPr>
            <w:r>
              <w:rPr>
                <w:rFonts w:ascii="Times New Roman" w:hAnsi="Times New Roman"/>
                <w:color w:val="000000"/>
                <w:sz w:val="20"/>
              </w:rPr>
              <w:t>H = 6.3719, p = 0.0949, epsilon-squared = 0.0540</w:t>
            </w:r>
          </w:p>
        </w:tc>
        <w:tc>
          <w:tcPr>
            <w:tcW w:type="dxa" w:w="2340"/>
          </w:tcPr>
          <w:p>
            <w:pPr>
              <w:spacing w:after="60"/>
            </w:pPr>
            <w:r>
              <w:rPr>
                <w:rFonts w:ascii="Times New Roman" w:hAnsi="Times New Roman"/>
                <w:color w:val="000000"/>
                <w:sz w:val="20"/>
              </w:rPr>
              <w:t>H = 9.7515, p = 0.0208, epsilon-squared = 0.0826</w:t>
            </w:r>
          </w:p>
        </w:tc>
        <w:tc>
          <w:tcPr>
            <w:tcW w:type="dxa" w:w="2340"/>
          </w:tcPr>
          <w:p>
            <w:pPr>
              <w:spacing w:after="60"/>
            </w:pPr>
            <w:r>
              <w:rPr>
                <w:rFonts w:ascii="Times New Roman" w:hAnsi="Times New Roman"/>
                <w:color w:val="000000"/>
                <w:sz w:val="20"/>
              </w:rPr>
              <w:t>Unadjusted practice p remains below 0.05; knowledge remains non-significant</w:t>
            </w:r>
          </w:p>
        </w:tc>
      </w:tr>
      <w:tr>
        <w:tc>
          <w:tcPr>
            <w:tcW w:type="dxa" w:w="2340"/>
          </w:tcPr>
          <w:p>
            <w:pPr>
              <w:spacing w:after="60"/>
            </w:pPr>
            <w:r>
              <w:rPr>
                <w:rFonts w:ascii="Times New Roman" w:hAnsi="Times New Roman"/>
                <w:color w:val="000000"/>
                <w:sz w:val="20"/>
              </w:rPr>
              <w:t>Complete practice responses only</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H = 8.6488, p = 0.0705, epsilon-squared = 0.0759; n = 115</w:t>
            </w:r>
          </w:p>
        </w:tc>
        <w:tc>
          <w:tcPr>
            <w:tcW w:type="dxa" w:w="2340"/>
          </w:tcPr>
          <w:p>
            <w:pPr>
              <w:spacing w:after="60"/>
            </w:pPr>
            <w:r>
              <w:rPr>
                <w:rFonts w:ascii="Times New Roman" w:hAnsi="Times New Roman"/>
                <w:color w:val="000000"/>
                <w:sz w:val="20"/>
              </w:rPr>
              <w:t>Practice result is sensitive to missing-response handling</w:t>
            </w:r>
          </w:p>
        </w:tc>
      </w:tr>
      <w:tr>
        <w:tc>
          <w:tcPr>
            <w:tcW w:type="dxa" w:w="2340"/>
          </w:tcPr>
          <w:p>
            <w:pPr>
              <w:spacing w:after="60"/>
            </w:pPr>
            <w:r>
              <w:rPr>
                <w:rFonts w:ascii="Times New Roman" w:hAnsi="Times New Roman"/>
                <w:color w:val="000000"/>
                <w:sz w:val="20"/>
              </w:rPr>
              <w:t>Maternal education treated as ordinal</w:t>
            </w:r>
          </w:p>
        </w:tc>
        <w:tc>
          <w:tcPr>
            <w:tcW w:type="dxa" w:w="2340"/>
          </w:tcPr>
          <w:p>
            <w:pPr>
              <w:spacing w:after="60"/>
            </w:pPr>
            <w:r>
              <w:rPr>
                <w:rFonts w:ascii="Times New Roman" w:hAnsi="Times New Roman"/>
                <w:color w:val="000000"/>
                <w:sz w:val="20"/>
              </w:rPr>
              <w:t>rho = 0.2023, p = 0.0267</w:t>
            </w:r>
          </w:p>
        </w:tc>
        <w:tc>
          <w:tcPr>
            <w:tcW w:type="dxa" w:w="2340"/>
          </w:tcPr>
          <w:p>
            <w:pPr>
              <w:spacing w:after="60"/>
            </w:pPr>
            <w:r>
              <w:rPr>
                <w:rFonts w:ascii="Times New Roman" w:hAnsi="Times New Roman"/>
                <w:color w:val="000000"/>
                <w:sz w:val="20"/>
              </w:rPr>
              <w:t>rho = 0.2684, p = 0.0030</w:t>
            </w:r>
          </w:p>
        </w:tc>
        <w:tc>
          <w:tcPr>
            <w:tcW w:type="dxa" w:w="2340"/>
          </w:tcPr>
          <w:p>
            <w:pPr>
              <w:spacing w:after="60"/>
            </w:pPr>
            <w:r>
              <w:rPr>
                <w:rFonts w:ascii="Times New Roman" w:hAnsi="Times New Roman"/>
                <w:color w:val="000000"/>
                <w:sz w:val="20"/>
              </w:rPr>
              <w:t>Exploratory monotonic trends; unadjusted for multiplicity</w:t>
            </w:r>
          </w:p>
        </w:tc>
      </w:tr>
      <w:tr>
        <w:tc>
          <w:tcPr>
            <w:tcW w:type="dxa" w:w="2340"/>
          </w:tcPr>
          <w:p>
            <w:pPr>
              <w:spacing w:after="60"/>
            </w:pPr>
            <w:r>
              <w:rPr>
                <w:rFonts w:ascii="Times New Roman" w:hAnsi="Times New Roman"/>
                <w:color w:val="000000"/>
                <w:sz w:val="20"/>
              </w:rPr>
              <w:t>Age across maternal-education groups</w:t>
            </w:r>
          </w:p>
        </w:tc>
        <w:tc>
          <w:tcPr>
            <w:tcW w:type="dxa" w:w="2340"/>
          </w:tcPr>
          <w:p>
            <w:pPr>
              <w:spacing w:after="60"/>
            </w:pPr>
            <w:r>
              <w:rPr>
                <w:rFonts w:ascii="Times New Roman" w:hAnsi="Times New Roman"/>
                <w:color w:val="000000"/>
                <w:sz w:val="20"/>
              </w:rPr>
              <w:t>H = 10.6913, p = 0.0303</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Age is a plausible confounder</w:t>
            </w:r>
          </w:p>
        </w:tc>
      </w:tr>
      <w:tr>
        <w:tc>
          <w:tcPr>
            <w:tcW w:type="dxa" w:w="2340"/>
          </w:tcPr>
          <w:p>
            <w:pPr>
              <w:spacing w:after="60"/>
            </w:pPr>
            <w:r>
              <w:rPr>
                <w:rFonts w:ascii="Times New Roman" w:hAnsi="Times New Roman"/>
                <w:color w:val="000000"/>
                <w:sz w:val="20"/>
              </w:rPr>
              <w:t>Original pathological-response scoring key</w:t>
            </w:r>
          </w:p>
        </w:tc>
        <w:tc>
          <w:tcPr>
            <w:tcW w:type="dxa" w:w="2340"/>
          </w:tcPr>
          <w:p>
            <w:pPr>
              <w:spacing w:after="60"/>
            </w:pPr>
            <w:r>
              <w:rPr>
                <w:rFonts w:ascii="Times New Roman" w:hAnsi="Times New Roman"/>
                <w:color w:val="000000"/>
                <w:sz w:val="20"/>
              </w:rPr>
              <w:t>Mean 5.82; H = 5.8669, p = 0.2093, epsilon-squared = 0.0493</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Main significance classification is unchanged</w:t>
            </w:r>
          </w:p>
        </w:tc>
      </w:tr>
      <w:tr>
        <w:tc>
          <w:tcPr>
            <w:tcW w:type="dxa" w:w="2340"/>
          </w:tcPr>
          <w:p>
            <w:pPr>
              <w:spacing w:after="60"/>
            </w:pPr>
            <w:r>
              <w:rPr>
                <w:rFonts w:ascii="Times New Roman" w:hAnsi="Times New Roman"/>
                <w:color w:val="000000"/>
                <w:sz w:val="20"/>
              </w:rPr>
              <w:t>Spearman rank correlation (age-knowledge)</w:t>
            </w:r>
          </w:p>
        </w:tc>
        <w:tc>
          <w:tcPr>
            <w:tcW w:type="dxa" w:w="2340"/>
          </w:tcPr>
          <w:p>
            <w:pPr>
              <w:spacing w:after="60"/>
            </w:pPr>
            <w:r>
              <w:rPr>
                <w:rFonts w:ascii="Times New Roman" w:hAnsi="Times New Roman"/>
                <w:color w:val="000000"/>
                <w:sz w:val="20"/>
              </w:rPr>
              <w:t>rho = 0.3710,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(knowledge-practice)</w:t>
            </w:r>
          </w:p>
        </w:tc>
        <w:tc>
          <w:tcPr>
            <w:tcW w:type="dxa" w:w="2340"/>
          </w:tcPr>
          <w:p>
            <w:pPr>
              <w:spacing w:after="60"/>
            </w:pPr>
            <w:r>
              <w:rPr>
                <w:rFonts w:ascii="Times New Roman" w:hAnsi="Times New Roman"/>
                <w:color w:val="000000"/>
                <w:sz w:val="20"/>
              </w:rPr>
              <w:t>rho = 0.3650,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(income-knowledge / income-practice)</w:t>
            </w:r>
          </w:p>
        </w:tc>
        <w:tc>
          <w:tcPr>
            <w:tcW w:type="dxa" w:w="2340"/>
          </w:tcPr>
          <w:p>
            <w:pPr>
              <w:spacing w:after="60"/>
            </w:pPr>
            <w:r>
              <w:rPr>
                <w:rFonts w:ascii="Times New Roman" w:hAnsi="Times New Roman"/>
                <w:color w:val="000000"/>
                <w:sz w:val="20"/>
              </w:rPr>
              <w:t>rho = 0.2160, p = 0.0178</w:t>
            </w:r>
          </w:p>
        </w:tc>
        <w:tc>
          <w:tcPr>
            <w:tcW w:type="dxa" w:w="2340"/>
          </w:tcPr>
          <w:p>
            <w:pPr>
              <w:spacing w:after="60"/>
            </w:pPr>
            <w:r>
              <w:rPr>
                <w:rFonts w:ascii="Times New Roman" w:hAnsi="Times New Roman"/>
                <w:color w:val="000000"/>
                <w:sz w:val="20"/>
              </w:rPr>
              <w:t>rho = 0.0544, p = 0.5550</w:t>
            </w:r>
          </w:p>
        </w:tc>
        <w:tc>
          <w:tcPr>
            <w:tcW w:type="dxa" w:w="2340"/>
          </w:tcPr>
          <w:p>
            <w:pPr>
              <w:spacing w:after="60"/>
            </w:pPr>
            <w:r>
              <w:rPr>
                <w:rFonts w:ascii="Times New Roman" w:hAnsi="Times New Roman"/>
                <w:color w:val="000000"/>
                <w:sz w:val="20"/>
              </w:rPr>
              <w:t>Weak income-knowledge association appears only in the rank-based analysis</w:t>
            </w:r>
          </w:p>
        </w:tc>
      </w:tr>
    </w:tbl>
    <w:p/>
    <w:p>
      <w:pPr>
        <w:pStyle w:val="Heading2"/>
      </w:pPr>
      <w:r>
        <w:t>5. Figures</w:t>
      </w:r>
    </w:p>
    <w:p>
      <w:pPr>
        <w:pStyle w:val="Heading3"/>
      </w:pPr>
      <w:r>
        <w:t>Figure 1. Distribution of knowledge and practice scores</w:t>
      </w:r>
    </w:p>
    <w:p>
      <w:pPr>
        <w:jc w:val="center"/>
      </w:pPr>
      <w:r>
        <w:drawing>
          <wp:inline xmlns:a="http://schemas.openxmlformats.org/drawingml/2006/main" xmlns:pic="http://schemas.openxmlformats.org/drawingml/2006/picture">
            <wp:extent cx="5669280" cy="2335063"/>
            <wp:docPr id="1" name="Picture 1"/>
            <wp:cNvGraphicFramePr>
              <a:graphicFrameLocks noChangeAspect="1"/>
            </wp:cNvGraphicFramePr>
            <a:graphic>
              <a:graphicData uri="http://schemas.openxmlformats.org/drawingml/2006/picture">
                <pic:pic>
                  <pic:nvPicPr>
                    <pic:cNvPr id="0" name="manuscript_score_distributions.png"/>
                    <pic:cNvPicPr/>
                  </pic:nvPicPr>
                  <pic:blipFill>
                    <a:blip r:embed="rId10"/>
                    <a:stretch>
                      <a:fillRect/>
                    </a:stretch>
                  </pic:blipFill>
                  <pic:spPr>
                    <a:xfrm>
                      <a:off x="0" y="0"/>
                      <a:ext cx="5669280" cy="2335063"/>
                    </a:xfrm>
                    <a:prstGeom prst="rect"/>
                  </pic:spPr>
                </pic:pic>
              </a:graphicData>
            </a:graphic>
          </wp:inline>
        </w:drawing>
      </w:r>
    </w:p>
    <w:p>
      <w:pPr>
        <w:jc w:val="center"/>
      </w:pPr>
      <w:r>
        <w:rPr>
          <w:rFonts w:ascii="Times New Roman" w:hAnsi="Times New Roman"/>
          <w:i/>
          <w:color w:val="000000"/>
          <w:sz w:val="22"/>
        </w:rPr>
        <w:t>Figure 1. Knowledge and practice score distributions.</w:t>
      </w:r>
    </w:p>
    <w:p/>
    <w:p>
      <w:pPr>
        <w:pStyle w:val="Heading3"/>
      </w:pPr>
      <w:r>
        <w:t>Figure 2. Mean knowledge and practice scores by maternal education level</w:t>
      </w:r>
    </w:p>
    <w:p>
      <w:pPr>
        <w:jc w:val="center"/>
      </w:pPr>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manuscript_scores_by_maternal_education.png"/>
                    <pic:cNvPicPr/>
                  </pic:nvPicPr>
                  <pic:blipFill>
                    <a:blip r:embed="rId11"/>
                    <a:stretch>
                      <a:fillRect/>
                    </a:stretch>
                  </pic:blipFill>
                  <pic:spPr>
                    <a:xfrm>
                      <a:off x="0" y="0"/>
                      <a:ext cx="5669280" cy="3378662"/>
                    </a:xfrm>
                    <a:prstGeom prst="rect"/>
                  </pic:spPr>
                </pic:pic>
              </a:graphicData>
            </a:graphic>
          </wp:inline>
        </w:drawing>
      </w:r>
    </w:p>
    <w:p>
      <w:pPr>
        <w:jc w:val="center"/>
      </w:pPr>
      <w:r>
        <w:rPr>
          <w:rFonts w:ascii="Times New Roman" w:hAnsi="Times New Roman"/>
          <w:i/>
          <w:color w:val="000000"/>
          <w:sz w:val="22"/>
        </w:rPr>
        <w:t>Figure 2. Mean knowledge and practice scores by maternal education level.</w:t>
      </w:r>
    </w:p>
    <w:p/>
    <w:p>
      <w:pPr>
        <w:pStyle w:val="Heading3"/>
      </w:pPr>
      <w:r>
        <w:t>Figure 3. Boxplots of knowledge and practice scores by maternal education level</w:t>
      </w:r>
    </w:p>
    <w:p>
      <w:pPr>
        <w:jc w:val="center"/>
      </w:pPr>
      <w:r>
        <w:drawing>
          <wp:inline xmlns:a="http://schemas.openxmlformats.org/drawingml/2006/main" xmlns:pic="http://schemas.openxmlformats.org/drawingml/2006/picture">
            <wp:extent cx="5669280" cy="2424994"/>
            <wp:docPr id="3" name="Picture 3"/>
            <wp:cNvGraphicFramePr>
              <a:graphicFrameLocks noChangeAspect="1"/>
            </wp:cNvGraphicFramePr>
            <a:graphic>
              <a:graphicData uri="http://schemas.openxmlformats.org/drawingml/2006/picture">
                <pic:pic>
                  <pic:nvPicPr>
                    <pic:cNvPr id="0" name="manuscript_score_boxplots.png"/>
                    <pic:cNvPicPr/>
                  </pic:nvPicPr>
                  <pic:blipFill>
                    <a:blip r:embed="rId12"/>
                    <a:stretch>
                      <a:fillRect/>
                    </a:stretch>
                  </pic:blipFill>
                  <pic:spPr>
                    <a:xfrm>
                      <a:off x="0" y="0"/>
                      <a:ext cx="5669280" cy="2424994"/>
                    </a:xfrm>
                    <a:prstGeom prst="rect"/>
                  </pic:spPr>
                </pic:pic>
              </a:graphicData>
            </a:graphic>
          </wp:inline>
        </w:drawing>
      </w:r>
    </w:p>
    <w:p>
      <w:pPr>
        <w:jc w:val="center"/>
      </w:pPr>
      <w:r>
        <w:rPr>
          <w:rFonts w:ascii="Times New Roman" w:hAnsi="Times New Roman"/>
          <w:i/>
          <w:color w:val="000000"/>
          <w:sz w:val="22"/>
        </w:rPr>
        <w:t>Figure 3. Boxplot comparison by maternal education level.</w:t>
      </w:r>
    </w:p>
    <w:p/>
    <w:p>
      <w:pPr>
        <w:pStyle w:val="Heading3"/>
      </w:pPr>
      <w:r>
        <w:t>Figure 4. Scatter matrix of continuous variables</w:t>
      </w:r>
    </w:p>
    <w:p>
      <w:pPr>
        <w:jc w:val="center"/>
      </w:pPr>
      <w:r>
        <w:drawing>
          <wp:inline xmlns:a="http://schemas.openxmlformats.org/drawingml/2006/main" xmlns:pic="http://schemas.openxmlformats.org/drawingml/2006/picture">
            <wp:extent cx="5669280" cy="5713757"/>
            <wp:docPr id="4" name="Picture 4"/>
            <wp:cNvGraphicFramePr>
              <a:graphicFrameLocks noChangeAspect="1"/>
            </wp:cNvGraphicFramePr>
            <a:graphic>
              <a:graphicData uri="http://schemas.openxmlformats.org/drawingml/2006/picture">
                <pic:pic>
                  <pic:nvPicPr>
                    <pic:cNvPr id="0" name="manuscript_scatter_matrix.png"/>
                    <pic:cNvPicPr/>
                  </pic:nvPicPr>
                  <pic:blipFill>
                    <a:blip r:embed="rId13"/>
                    <a:stretch>
                      <a:fillRect/>
                    </a:stretch>
                  </pic:blipFill>
                  <pic:spPr>
                    <a:xfrm>
                      <a:off x="0" y="0"/>
                      <a:ext cx="5669280" cy="5713757"/>
                    </a:xfrm>
                    <a:prstGeom prst="rect"/>
                  </pic:spPr>
                </pic:pic>
              </a:graphicData>
            </a:graphic>
          </wp:inline>
        </w:drawing>
      </w:r>
    </w:p>
    <w:p>
      <w:pPr>
        <w:jc w:val="center"/>
      </w:pPr>
      <w:r>
        <w:rPr>
          <w:rFonts w:ascii="Times New Roman" w:hAnsi="Times New Roman"/>
          <w:i/>
          <w:color w:val="000000"/>
          <w:sz w:val="22"/>
        </w:rPr>
        <w:t>Figure 4. Scatter matrix for age, income, family size, per-capita income, knowledge, practice, and total score.</w:t>
      </w:r>
    </w:p>
    <w:p/>
    <w:p>
      <w:pPr>
        <w:pStyle w:val="Heading2"/>
      </w:pPr>
      <w:r>
        <w:t>6. Discussion</w:t>
      </w:r>
    </w:p>
    <w:p>
      <w:pPr>
        <w:jc w:val="left"/>
      </w:pPr>
      <w:r>
        <w:rPr>
          <w:rFonts w:ascii="Times New Roman" w:hAnsi="Times New Roman"/>
          <w:color w:val="000000"/>
        </w:rPr>
        <w:t>The primary analysis found a statistically significant unadjusted difference in practice scores among maternal education groups. The omnibus knowledge comparison was not statistically significant. This suggests a possible association between maternal education and reported menstrual hygiene practice in the observed sample. Conservative multiplicity and complete-response sensitivity analyses attenuated the evidence, and no formal test compared the strength of the knowledge and practice associations. Household routines, access to products, supervision, and age could contribute to the observed pattern, but this unadjusted analysis cannot separate their effects.</w:t>
      </w:r>
    </w:p>
    <w:p>
      <w:pPr>
        <w:jc w:val="left"/>
      </w:pPr>
      <w:r>
        <w:rPr>
          <w:rFonts w:ascii="Times New Roman" w:hAnsi="Times New Roman"/>
          <w:color w:val="000000"/>
        </w:rPr>
        <w:t>The positive association between age and knowledge is consistent with a developmental explanation. Older girls may have more experience of menstruation and more opportunities to receive information from family members or peers. They may also have had more time to develop their understanding of menstrual management. Knowledge and practice were positively correlated, but the association was not strong enough to assume that knowledge consistently leads to practice. Structural barriers, stigma, and limited access may affect whether knowledge can be applied.</w:t>
      </w:r>
    </w:p>
    <w:p>
      <w:pPr>
        <w:pStyle w:val="Heading3"/>
      </w:pPr>
      <w:r>
        <w:t>6.1 Comparison with published studies</w:t>
      </w:r>
    </w:p>
    <w:p>
      <w:pPr>
        <w:jc w:val="left"/>
      </w:pPr>
      <w:r>
        <w:rPr>
          <w:rFonts w:ascii="Times New Roman" w:hAnsi="Times New Roman"/>
          <w:color w:val="000000"/>
        </w:rPr>
        <w:t>Studies from Pakistan show substantial variation in menstrual knowledge and practice across settings. In rural Sindh, Wasan et al. found that only one quarter of 25,305 adolescent girls and young women used materials classified as appropriate; having no education, compared with higher secondary or university education, was associated with greater odds of inappropriate material use (OR 3.90, 95% CI 3.36-4.52) [11]. In Khairpur, Aziz et al. reported satisfactory knowledge among 69.8% of urban participants and 38.4% of rural participants, while good practice was reported by 71.1% and 11.9%, respectively [12]. These differences suggest that schooling, resources, and local conditions may be as important as knowledge alone.</w:t>
      </w:r>
    </w:p>
    <w:p>
      <w:pPr>
        <w:jc w:val="left"/>
      </w:pPr>
      <w:r>
        <w:rPr>
          <w:rFonts w:ascii="Times New Roman" w:hAnsi="Times New Roman"/>
          <w:color w:val="000000"/>
        </w:rPr>
        <w:t>Mothers are repeatedly identified as an important source of menstrual information in Pakistan. Shah et al. found that 51.7% of girls in Ghizer had not been aware of menstruation before menarche; 47.7% used reusable cloth or towels, 30.7% used disposable pads, and 65.3% of mothers had no formal education [13]. In Quetta, mothers were the main information source for 67% of participants, 77.7% had received no menstrual-education session at school, and 68.7% used commercial pads [14]. Afzaal et al. reported a positive knowledge-practice correlation in Lahore (r = 0.649, p &lt; 0.001), consistent with the present result [15]. These findings support a maternal communication pathway but do not show that maternal education independently determines hygiene outcomes.</w:t>
      </w:r>
    </w:p>
    <w:p>
      <w:pPr>
        <w:jc w:val="left"/>
      </w:pPr>
      <w:r>
        <w:rPr>
          <w:rFonts w:ascii="Times New Roman" w:hAnsi="Times New Roman"/>
          <w:color w:val="000000"/>
        </w:rPr>
        <w:t>Evidence from neighboring settings also supports separate assessment of knowledge and practice. Dasgupta and Sarkar found that 48.75% of rural Indian participants knew that sanitary pads were appropriate, but only 11.25% used them [16]. Kumar et al. reported greater pad use among girls with literate mothers than among those with illiterate mothers (62% versus 13%) [17]. In Nepal, Yadav et al. found that most participants had fair or good knowledge, whereas only 40% met the study definition of good practice [18].</w:t>
      </w:r>
    </w:p>
    <w:p>
      <w:pPr>
        <w:jc w:val="left"/>
      </w:pPr>
      <w:r>
        <w:rPr>
          <w:rFonts w:ascii="Times New Roman" w:hAnsi="Times New Roman"/>
          <w:color w:val="000000"/>
        </w:rPr>
        <w:t>Associations with maternal education are not consistent across studies. Bhusal reported lower adjusted odds of good practice among Nepalese girls with literate mothers (AOR 0.52, 95% CI 0.30-0.89), but higher odds among those with literate fathers (AOR 2.55, 95% CI 1.26-5.15) [7]. In Ethiopia, Upashe et al. found that maternal secondary or higher education predicted good knowledge (AOR 1.51, 95% CI 1.02-2.22) and good practice (AOR 2.03, 95% CI 1.38-2.97) [21]. The present practice finding agrees in direction with Kumar et al. and Upashe et al., while Bhusal's result shows that maternal education is not a universal stand-alone proxy for a supportive menstrual environment [7,17,21]. Differences in outcome definitions, age ranges, education categories, adjustment, and context prevent direct numerical comparison.</w:t>
      </w:r>
    </w:p>
    <w:p>
      <w:pPr>
        <w:jc w:val="left"/>
      </w:pPr>
      <w:r>
        <w:rPr>
          <w:rFonts w:ascii="Times New Roman" w:hAnsi="Times New Roman"/>
          <w:color w:val="000000"/>
        </w:rPr>
        <w:t>School and household conditions provide further context. In Bangladesh, Haque et al. observed increases in high knowledge from 51.0% to 82.4% and in good practice from 28.8% to 88.9% after a six-month school-based intervention, although the uncontrolled design limits causal interpretation [19]. Alam et al. found that access to girls' toilets was associated with less menstrual-related school absence (adjusted prevalence difference -5.4 percentage points, 95% CI -10.0 to -1.6), whereas menstrual restrictions were associated with greater absence [20]. Product access, household resources, privacy, sanitation, school facilities, communication, and social restrictions may therefore mediate the relationship between education and menstrual hygiene behavior [11-15,20].</w:t>
      </w:r>
    </w:p>
    <w:p>
      <w:pPr>
        <w:jc w:val="left"/>
      </w:pPr>
      <w:r>
        <w:rPr>
          <w:rFonts w:ascii="Times New Roman" w:hAnsi="Times New Roman"/>
          <w:color w:val="000000"/>
        </w:rPr>
        <w:t>This study has several strengths. Data completeness and coding were examined before analysis, statistical assumptions were assessed, and effect sizes were reported alongside p-values. Sensitivity analyses evaluated the influence of the smallest maternal-education group, missing practice responses, alternative scoring of a disputed knowledge item, and rank-based correlation methods.</w:t>
      </w:r>
    </w:p>
    <w:p>
      <w:pPr>
        <w:jc w:val="left"/>
      </w:pPr>
      <w:r>
        <w:rPr>
          <w:rFonts w:ascii="Times New Roman" w:hAnsi="Times New Roman"/>
          <w:color w:val="000000"/>
        </w:rPr>
        <w:t>Several limitations require caution. First, the cross-sectional design supports associations but not causal conclusions. Second, the analyses were unadjusted and bivariate. Age differed among maternal education groups and may confound the observed associations. School conditions, product access, and other family factors were not controlled. Third, the statistically significant unadjusted practice result was attenuated by the exploratory Holm and complete-response sensitivity analyses. Fourth, maternal education groups were severely imbalanced, especially the highest category. This limits precision, makes detailed comparisons unstable, and means that the omnibus result does not identify which groups differ. Fifth, assigning zero to missing or invalid questionnaire responses may have lowered scores when non-response did not indicate poor knowledge or practice. The complete-response result shows that the practice finding was sensitive to this rule. Sixth, four score items did not discriminate because every listed response option received one point. This limits construct validity and increases the apparent proportion of the maximum score. Seventh, one knowledge item required correction because the original scoring key conflicted with the biological meaning of its labeled responses. Eighth, six responses fell outside the SPSS value-label domains. Ninth, the secondary correlations and ordinal trends were exploratory and were not corrected for multiple testing. Finally, participants came from one school, so the findings may not generalize to other adolescents in Lahore or elsewhere in Pakistan.</w:t>
      </w:r>
    </w:p>
    <w:p>
      <w:pPr>
        <w:jc w:val="left"/>
      </w:pPr>
      <w:r>
        <w:rPr>
          <w:rFonts w:ascii="Times New Roman" w:hAnsi="Times New Roman"/>
          <w:color w:val="000000"/>
        </w:rPr>
        <w:t>The results suggest that programs in similar settings should address practical behavior as well as factual menstrual health knowledge. Possible components include caregiver involvement and measures to improve access to products, privacy, and safe disposal. Larger and more balanced samples, adjusted multivariable models, and prospective or mixed-methods designs are needed to clarify how maternal education relates to menstrual hygiene behavior in everyday settings.</w:t>
      </w:r>
    </w:p>
    <w:p>
      <w:pPr>
        <w:pStyle w:val="Heading2"/>
      </w:pPr>
      <w:r>
        <w:t>7. Conclusion</w:t>
      </w:r>
    </w:p>
    <w:p>
      <w:pPr>
        <w:jc w:val="left"/>
      </w:pPr>
      <w:r>
        <w:rPr>
          <w:rFonts w:ascii="Times New Roman" w:hAnsi="Times New Roman"/>
          <w:color w:val="000000"/>
        </w:rPr>
        <w:t>In this sample from sub-urban Lahore, practice scores differed significantly across maternal education groups, while the omnibus knowledge comparison was not statistically significant. Older age was associated with higher knowledge and practice scores, and knowledge was positively associated with practice. These findings suggest, but do not establish, a relationship between maternal education and menstrual hygiene behavior. Sensitivity analyses and possible age confounding indicate that any independent contribution requires confirmation. Larger studies with validated scoring, balanced education groups, documented ethics procedures, and adjusted analyses are needed to establish the magnitude and independence of this relationship.</w:t>
      </w:r>
    </w:p>
    <w:p>
      <w:pPr>
        <w:pStyle w:val="Heading2"/>
      </w:pPr>
      <w:r>
        <w:t>8. Declarations</w:t>
      </w:r>
    </w:p>
    <w:p>
      <w:pPr>
        <w:pStyle w:val="Heading3"/>
      </w:pPr>
      <w:r>
        <w:t>Ethics statement</w:t>
      </w:r>
    </w:p>
    <w:p>
      <w:pPr>
        <w:jc w:val="left"/>
      </w:pPr>
      <w:r>
        <w:rPr>
          <w:rFonts w:ascii="Times New Roman" w:hAnsi="Times New Roman"/>
          <w:color w:val="000000"/>
        </w:rPr>
        <w:t>Ethics approval and parental consent documentation could not be verified. The approving institution, approval identifier, and study-specific consent process must be confirmed before submission.</w:t>
      </w:r>
    </w:p>
    <w:p>
      <w:pPr>
        <w:pStyle w:val="Heading3"/>
      </w:pPr>
      <w:r>
        <w:t>Funding</w:t>
      </w:r>
    </w:p>
    <w:p>
      <w:pPr>
        <w:jc w:val="left"/>
      </w:pPr>
      <w:r>
        <w:rPr>
          <w:rFonts w:ascii="Times New Roman" w:hAnsi="Times New Roman"/>
          <w:color w:val="000000"/>
        </w:rPr>
        <w:t>The authors must provide a final funding declaration before submission.</w:t>
      </w:r>
    </w:p>
    <w:p>
      <w:pPr>
        <w:pStyle w:val="Heading3"/>
      </w:pPr>
      <w:r>
        <w:t>Competing interests</w:t>
      </w:r>
    </w:p>
    <w:p>
      <w:pPr>
        <w:jc w:val="left"/>
      </w:pPr>
      <w:r>
        <w:rPr>
          <w:rFonts w:ascii="Times New Roman" w:hAnsi="Times New Roman"/>
          <w:color w:val="000000"/>
        </w:rPr>
        <w:t>The authors must provide a final competing-interests declaration before submission.</w:t>
      </w:r>
    </w:p>
    <w:p>
      <w:pPr>
        <w:pStyle w:val="Heading3"/>
      </w:pPr>
      <w:r>
        <w:t>Data and materials availability</w:t>
      </w:r>
    </w:p>
    <w:p>
      <w:pPr>
        <w:jc w:val="left"/>
      </w:pPr>
      <w:r>
        <w:rPr>
          <w:rFonts w:ascii="Times New Roman" w:hAnsi="Times New Roman"/>
          <w:color w:val="000000"/>
        </w:rPr>
        <w:t>The study dataset is not publicly available. Access conditions must be determined by the responsible institution following confirmation of the applicable ethics and consent restrictions.</w:t>
      </w:r>
    </w:p>
    <w:p>
      <w:pPr>
        <w:pStyle w:val="Heading3"/>
      </w:pPr>
      <w:r>
        <w:t>Author contributions</w:t>
      </w:r>
    </w:p>
    <w:p>
      <w:pPr>
        <w:jc w:val="left"/>
      </w:pPr>
      <w:r>
        <w:rPr>
          <w:rFonts w:ascii="Times New Roman" w:hAnsi="Times New Roman"/>
          <w:color w:val="000000"/>
        </w:rPr>
        <w:t>Naureen Omar supervised the study. Ayesha Javed and Fatima Sohail conducted the investigation.</w:t>
      </w:r>
    </w:p>
    <w:p>
      <w:pPr>
        <w:pStyle w:val="Heading2"/>
      </w:pPr>
      <w:r>
        <w:t>9. References</w:t>
      </w:r>
    </w:p>
    <w:p>
      <w:pPr>
        <w:pStyle w:val="ListNumber"/>
        <w:jc w:val="left"/>
      </w:pPr>
      <w:r>
        <w:rPr>
          <w:rFonts w:ascii="Times New Roman" w:hAnsi="Times New Roman"/>
          <w:color w:val="000000"/>
        </w:rPr>
        <w:t>World Health Organization. _Strengthening the health sector response to adolescent health and</w:t>
      </w:r>
    </w:p>
    <w:p>
      <w:pPr>
        <w:jc w:val="left"/>
      </w:pPr>
      <w:r>
        <w:rPr>
          <w:rFonts w:ascii="Times New Roman" w:hAnsi="Times New Roman"/>
          <w:color w:val="000000"/>
        </w:rPr>
        <w:t>development._ Geneva: WHO; 2010. Available from: https://apps.who.int/iris/bitstream/handle/10665/340531/WHO-FCH-CAH-10-01-eng.pdf?sequence=1&amp;isAllowed=y (No DOI; accessed 2026-03-19).</w:t>
      </w:r>
    </w:p>
    <w:p>
      <w:pPr>
        <w:pStyle w:val="ListNumber"/>
        <w:jc w:val="left"/>
      </w:pPr>
      <w:r>
        <w:rPr>
          <w:rFonts w:ascii="Times New Roman" w:hAnsi="Times New Roman"/>
          <w:color w:val="000000"/>
        </w:rPr>
        <w:t>World Health Organization. _WHO statement on menstrual health and rights._ 22 June 2022.</w:t>
      </w:r>
    </w:p>
    <w:p>
      <w:pPr>
        <w:jc w:val="left"/>
      </w:pPr>
      <w:r>
        <w:rPr>
          <w:rFonts w:ascii="Times New Roman" w:hAnsi="Times New Roman"/>
          <w:color w:val="000000"/>
        </w:rPr>
        <w:t>Available from: https://www.who.int/news/item/22-06-2022-who-statement-on-menstrual-health-and-rights (No DOI; accessed 2026-03-19).</w:t>
      </w:r>
    </w:p>
    <w:p>
      <w:pPr>
        <w:pStyle w:val="ListNumber"/>
        <w:jc w:val="left"/>
      </w:pPr>
      <w:r>
        <w:rPr>
          <w:rFonts w:ascii="Times New Roman" w:hAnsi="Times New Roman"/>
          <w:color w:val="000000"/>
        </w:rPr>
        <w:t>UNESCO. _Puberty education &amp; menstrual hygiene management._ Good Policy and Practice in Health</w:t>
      </w:r>
    </w:p>
    <w:p>
      <w:pPr>
        <w:jc w:val="left"/>
      </w:pPr>
      <w:r>
        <w:rPr>
          <w:rFonts w:ascii="Times New Roman" w:hAnsi="Times New Roman"/>
          <w:color w:val="000000"/>
        </w:rPr>
        <w:t>Education Booklet 9. Paris: UNESCO; 2014. Available from: https://unesdoc.unesco.org/ark:/48223/pf0000226792 (No DOI; accessed 2026-07-12).</w:t>
      </w:r>
    </w:p>
    <w:p>
      <w:pPr>
        <w:pStyle w:val="ListNumber"/>
        <w:jc w:val="left"/>
      </w:pPr>
      <w:r>
        <w:rPr>
          <w:rFonts w:ascii="Times New Roman" w:hAnsi="Times New Roman"/>
          <w:color w:val="000000"/>
        </w:rPr>
        <w:t>Kumbeni MT, Otupiri E, Ziba FA. Menstrual hygiene among adolescent girls in junior high schools</w:t>
      </w:r>
    </w:p>
    <w:p>
      <w:pPr>
        <w:jc w:val="left"/>
      </w:pPr>
      <w:r>
        <w:rPr>
          <w:rFonts w:ascii="Times New Roman" w:hAnsi="Times New Roman"/>
          <w:color w:val="000000"/>
        </w:rPr>
        <w:t>in rural Northern Ghana. _Pan Afr Med J._ 2020;37:190. https://doi.org/10.11604/pamj.2020.37.190.19015</w:t>
      </w:r>
    </w:p>
    <w:p>
      <w:pPr>
        <w:pStyle w:val="ListNumber"/>
        <w:jc w:val="left"/>
      </w:pPr>
      <w:r>
        <w:rPr>
          <w:rFonts w:ascii="Times New Roman" w:hAnsi="Times New Roman"/>
          <w:color w:val="000000"/>
        </w:rPr>
        <w:t>Sahiledengle B, Atlaw D, Kumie A, Tekalegn Y, Woldeyohannes D, Agho KE. Menstrual hygiene</w:t>
      </w:r>
    </w:p>
    <w:p>
      <w:pPr>
        <w:jc w:val="left"/>
      </w:pPr>
      <w:r>
        <w:rPr>
          <w:rFonts w:ascii="Times New Roman" w:hAnsi="Times New Roman"/>
          <w:color w:val="000000"/>
        </w:rPr>
        <w:t>practice among adolescent girls in Ethiopia: a systematic review and meta-analysis. _PLoS One._ 2022;17(1):e0262295. https://doi.org/10.1371/journal.pone.0262295</w:t>
      </w:r>
    </w:p>
    <w:p>
      <w:pPr>
        <w:pStyle w:val="ListNumber"/>
        <w:jc w:val="left"/>
      </w:pPr>
      <w:r>
        <w:rPr>
          <w:rFonts w:ascii="Times New Roman" w:hAnsi="Times New Roman"/>
          <w:color w:val="000000"/>
        </w:rPr>
        <w:t>Belayneh Z, Mekuriaw B. Knowledge and menstrual hygiene practice among adolescent school girls in</w:t>
      </w:r>
    </w:p>
    <w:p>
      <w:pPr>
        <w:jc w:val="left"/>
      </w:pPr>
      <w:r>
        <w:rPr>
          <w:rFonts w:ascii="Times New Roman" w:hAnsi="Times New Roman"/>
          <w:color w:val="000000"/>
        </w:rPr>
        <w:t>southern Ethiopia: a cross-sectional study. _BMC Public Health._ 2019;19(1):1595. https://doi.org/10.1186/s12889-019-7973-9</w:t>
      </w:r>
    </w:p>
    <w:p>
      <w:pPr>
        <w:pStyle w:val="ListNumber"/>
        <w:jc w:val="left"/>
      </w:pPr>
      <w:r>
        <w:rPr>
          <w:rFonts w:ascii="Times New Roman" w:hAnsi="Times New Roman"/>
          <w:color w:val="000000"/>
        </w:rPr>
        <w:t>Bhusal CK. Practice of menstrual hygiene and associated factors among adolescent school girls in</w:t>
      </w:r>
    </w:p>
    <w:p>
      <w:pPr>
        <w:jc w:val="left"/>
      </w:pPr>
      <w:r>
        <w:rPr>
          <w:rFonts w:ascii="Times New Roman" w:hAnsi="Times New Roman"/>
          <w:color w:val="000000"/>
        </w:rPr>
        <w:t>Dang District, Nepal. _Adv Prev Med._ 2020;2020:1292070. https://doi.org/10.1155/2020/1292070</w:t>
      </w:r>
    </w:p>
    <w:p>
      <w:pPr>
        <w:pStyle w:val="ListNumber"/>
        <w:jc w:val="left"/>
      </w:pPr>
      <w:r>
        <w:rPr>
          <w:rFonts w:ascii="Times New Roman" w:hAnsi="Times New Roman"/>
          <w:color w:val="000000"/>
        </w:rPr>
        <w:t>Bhusal CK, Bhattarai S, Kafle R, Shrestha R, Chhetri P, Adhikari K. Level and associated factors</w:t>
      </w:r>
    </w:p>
    <w:p>
      <w:pPr>
        <w:jc w:val="left"/>
      </w:pPr>
      <w:r>
        <w:rPr>
          <w:rFonts w:ascii="Times New Roman" w:hAnsi="Times New Roman"/>
          <w:color w:val="000000"/>
        </w:rPr>
        <w:t>of knowledge regarding menstrual hygiene among school-going adolescent girls in Dang District, Nepal. _Adv Prev Med._ 2020;2020:8872119. https://doi.org/10.1155/2020/8872119</w:t>
      </w:r>
    </w:p>
    <w:p>
      <w:pPr>
        <w:pStyle w:val="ListNumber"/>
        <w:jc w:val="left"/>
      </w:pPr>
      <w:r>
        <w:rPr>
          <w:rFonts w:ascii="Times New Roman" w:hAnsi="Times New Roman"/>
          <w:color w:val="000000"/>
        </w:rPr>
        <w:t>Sonowal P, Talukdar K, Saikia H. Sociodemographic factors and their association with menstrual</w:t>
      </w:r>
    </w:p>
    <w:p>
      <w:pPr>
        <w:jc w:val="left"/>
      </w:pPr>
      <w:r>
        <w:rPr>
          <w:rFonts w:ascii="Times New Roman" w:hAnsi="Times New Roman"/>
          <w:color w:val="000000"/>
        </w:rPr>
        <w:t>hygiene practices among adolescent girls in urban slums of Dibrugarh town, Assam. _J Family Med Prim Care._ 2021;10(12):4446-4451. https://doi.org/10.4103/jfmpc.jfmpc_703_21</w:t>
      </w:r>
    </w:p>
    <w:p>
      <w:pPr>
        <w:pStyle w:val="ListNumber"/>
        <w:jc w:val="left"/>
      </w:pPr>
      <w:r>
        <w:rPr>
          <w:rFonts w:ascii="Times New Roman" w:hAnsi="Times New Roman"/>
          <w:color w:val="000000"/>
        </w:rPr>
        <w:t>Srivastava U, Singh KK. Exploring knowledge and perceptions of school adolescents regarding</w:t>
      </w:r>
    </w:p>
    <w:p>
      <w:pPr>
        <w:jc w:val="left"/>
      </w:pPr>
      <w:r>
        <w:rPr>
          <w:rFonts w:ascii="Times New Roman" w:hAnsi="Times New Roman"/>
          <w:color w:val="000000"/>
        </w:rPr>
        <w:t>pubertal changes and reproductive health. _Indian J Youth Adolesc Health._ 2017;4(1):26-35. https://doi.org/10.24321/2349.2880.201705</w:t>
      </w:r>
    </w:p>
    <w:p>
      <w:pPr>
        <w:pStyle w:val="ListNumber"/>
        <w:jc w:val="left"/>
      </w:pPr>
      <w:r>
        <w:rPr>
          <w:rFonts w:ascii="Times New Roman" w:hAnsi="Times New Roman"/>
          <w:color w:val="000000"/>
        </w:rPr>
        <w:t>Wasan Y, Baxter JAB, Rizvi A, Shaheen F, Junejo Q, Abro MA, et al. Practices and predictors of</w:t>
      </w:r>
    </w:p>
    <w:p>
      <w:pPr>
        <w:jc w:val="left"/>
      </w:pPr>
      <w:r>
        <w:rPr>
          <w:rFonts w:ascii="Times New Roman" w:hAnsi="Times New Roman"/>
          <w:color w:val="000000"/>
        </w:rPr>
        <w:t>menstrual hygiene management material use among adolescent and young women in rural Pakistan: a cross-sectional assessment. _J Glob Health._ 2022;12:04059. https://doi.org/10.7189/jogh.12.04059</w:t>
      </w:r>
    </w:p>
    <w:p>
      <w:pPr>
        <w:pStyle w:val="ListNumber"/>
        <w:jc w:val="left"/>
      </w:pPr>
      <w:r>
        <w:rPr>
          <w:rFonts w:ascii="Times New Roman" w:hAnsi="Times New Roman"/>
          <w:color w:val="000000"/>
        </w:rPr>
        <w:t>Aziz A, Memon S, Aziz F, Memon F, Khowaja BMH, Zafar SN. A comparative study of the knowledge</w:t>
      </w:r>
    </w:p>
    <w:p>
      <w:pPr>
        <w:jc w:val="left"/>
      </w:pPr>
      <w:r>
        <w:rPr>
          <w:rFonts w:ascii="Times New Roman" w:hAnsi="Times New Roman"/>
          <w:color w:val="000000"/>
        </w:rPr>
        <w:t>and practices related to menstrual hygiene among adolescent girls in urban and rural areas of Sindh, Pakistan: a cross-sectional study. _Womens Health (Lond)._ 2024;20:17455057241231420. https://doi.org/10.1177/17455057241231420</w:t>
      </w:r>
    </w:p>
    <w:p>
      <w:pPr>
        <w:pStyle w:val="ListNumber"/>
        <w:jc w:val="left"/>
      </w:pPr>
      <w:r>
        <w:rPr>
          <w:rFonts w:ascii="Times New Roman" w:hAnsi="Times New Roman"/>
          <w:color w:val="000000"/>
        </w:rPr>
        <w:t>Shah SF, Punjani NS, Rizvi SN, Sheikh SS, Jan R. Knowledge, attitudes, and practices regarding</w:t>
      </w:r>
    </w:p>
    <w:p>
      <w:pPr>
        <w:jc w:val="left"/>
      </w:pPr>
      <w:r>
        <w:rPr>
          <w:rFonts w:ascii="Times New Roman" w:hAnsi="Times New Roman"/>
          <w:color w:val="000000"/>
        </w:rPr>
        <w:t>menstrual hygiene among girls in Ghizer, Gilgit, Pakistan. _Int J Environ Res Public Health._ 2023;20(14):6424. https://doi.org/10.3390/ijerph20146424</w:t>
      </w:r>
    </w:p>
    <w:p>
      <w:pPr>
        <w:pStyle w:val="ListNumber"/>
        <w:jc w:val="left"/>
      </w:pPr>
      <w:r>
        <w:rPr>
          <w:rFonts w:ascii="Times New Roman" w:hAnsi="Times New Roman"/>
          <w:color w:val="000000"/>
        </w:rPr>
        <w:t>Michael J, Iqbal Q, Haider S, Khalid A, Haque N, Ishaq R, et al. Knowledge and practice of</w:t>
      </w:r>
    </w:p>
    <w:p>
      <w:pPr>
        <w:jc w:val="left"/>
      </w:pPr>
      <w:r>
        <w:rPr>
          <w:rFonts w:ascii="Times New Roman" w:hAnsi="Times New Roman"/>
          <w:color w:val="000000"/>
        </w:rPr>
        <w:t>adolescent females about menstruation and menstruation hygiene visiting a public healthcare institute of Quetta, Pakistan. _BMC Womens Health._ 2020;20(1):4. https://doi.org/10.1186/s12905-019-0874-3</w:t>
      </w:r>
    </w:p>
    <w:p>
      <w:pPr>
        <w:pStyle w:val="ListNumber"/>
        <w:jc w:val="left"/>
      </w:pPr>
      <w:r>
        <w:rPr>
          <w:rFonts w:ascii="Times New Roman" w:hAnsi="Times New Roman"/>
          <w:color w:val="000000"/>
        </w:rPr>
        <w:t>Afzaal SS, Baloch S, Tahir S, Javed H, Saeed A, Pal MHA, et al. Awareness and practices of</w:t>
      </w:r>
    </w:p>
    <w:p>
      <w:pPr>
        <w:jc w:val="left"/>
      </w:pPr>
      <w:r>
        <w:rPr>
          <w:rFonts w:ascii="Times New Roman" w:hAnsi="Times New Roman"/>
          <w:color w:val="000000"/>
        </w:rPr>
        <w:t>menstrual hygiene among rural adolescent schoolgirls in Lahore, Pakistan: a cross-sectional study. _Cureus._ 2024;16(11):e73899. https://doi.org/10.7759/cureus.73899</w:t>
      </w:r>
    </w:p>
    <w:p>
      <w:pPr>
        <w:pStyle w:val="ListNumber"/>
        <w:jc w:val="left"/>
      </w:pPr>
      <w:r>
        <w:rPr>
          <w:rFonts w:ascii="Times New Roman" w:hAnsi="Times New Roman"/>
          <w:color w:val="000000"/>
        </w:rPr>
        <w:t>Dasgupta A, Sarkar M. Menstrual hygiene: how hygienic is the adolescent girl? _Indian J</w:t>
      </w:r>
    </w:p>
    <w:p>
      <w:pPr>
        <w:jc w:val="left"/>
      </w:pPr>
      <w:r>
        <w:rPr>
          <w:rFonts w:ascii="Times New Roman" w:hAnsi="Times New Roman"/>
          <w:color w:val="000000"/>
        </w:rPr>
        <w:t>Community Med._ 2008;33(2):77-80. https://doi.org/10.4103/0970-0218.40872</w:t>
      </w:r>
    </w:p>
    <w:p>
      <w:pPr>
        <w:pStyle w:val="ListNumber"/>
        <w:jc w:val="left"/>
      </w:pPr>
      <w:r>
        <w:rPr>
          <w:rFonts w:ascii="Times New Roman" w:hAnsi="Times New Roman"/>
          <w:color w:val="000000"/>
        </w:rPr>
        <w:t>Kumar A, Kansal S, Singh S. Menstrual hygiene practices in context of schooling: a community</w:t>
      </w:r>
    </w:p>
    <w:p>
      <w:pPr>
        <w:jc w:val="left"/>
      </w:pPr>
      <w:r>
        <w:rPr>
          <w:rFonts w:ascii="Times New Roman" w:hAnsi="Times New Roman"/>
          <w:color w:val="000000"/>
        </w:rPr>
        <w:t>study among rural adolescent girls in Varanasi. _Indian J Community Med._ 2016;41(1):39-44. https://doi.org/10.4103/0970-0218.170964</w:t>
      </w:r>
    </w:p>
    <w:p>
      <w:pPr>
        <w:pStyle w:val="ListNumber"/>
        <w:jc w:val="left"/>
      </w:pPr>
      <w:r>
        <w:rPr>
          <w:rFonts w:ascii="Times New Roman" w:hAnsi="Times New Roman"/>
          <w:color w:val="000000"/>
        </w:rPr>
        <w:t>Yadav RN, Joshi S, Poudel R, Pandeya P. Knowledge, attitude, and practice on menstrual hygiene</w:t>
      </w:r>
    </w:p>
    <w:p>
      <w:pPr>
        <w:jc w:val="left"/>
      </w:pPr>
      <w:r>
        <w:rPr>
          <w:rFonts w:ascii="Times New Roman" w:hAnsi="Times New Roman"/>
          <w:color w:val="000000"/>
        </w:rPr>
        <w:t>management among school adolescents. _J Nepal Health Res Counc._ 2018;15(3):212-216. https://doi.org/10.3126/jnhrc.v15i3.18842</w:t>
      </w:r>
    </w:p>
    <w:p>
      <w:pPr>
        <w:pStyle w:val="ListNumber"/>
        <w:jc w:val="left"/>
      </w:pPr>
      <w:r>
        <w:rPr>
          <w:rFonts w:ascii="Times New Roman" w:hAnsi="Times New Roman"/>
          <w:color w:val="000000"/>
        </w:rPr>
        <w:t>Haque SE, Rahman M, Kawashima I, Mutahara M, Sakisaka K. The effect of a school-based</w:t>
      </w:r>
    </w:p>
    <w:p>
      <w:pPr>
        <w:jc w:val="left"/>
      </w:pPr>
      <w:r>
        <w:rPr>
          <w:rFonts w:ascii="Times New Roman" w:hAnsi="Times New Roman"/>
          <w:color w:val="000000"/>
        </w:rPr>
        <w:t>educational intervention on menstrual health: an intervention study among adolescent girls in Bangladesh. _BMJ Open._ 2014;4(7):e004607. https://doi.org/10.1136/bmjopen-2013-004607</w:t>
      </w:r>
    </w:p>
    <w:p>
      <w:pPr>
        <w:pStyle w:val="ListNumber"/>
        <w:jc w:val="left"/>
      </w:pPr>
      <w:r>
        <w:rPr>
          <w:rFonts w:ascii="Times New Roman" w:hAnsi="Times New Roman"/>
          <w:color w:val="000000"/>
        </w:rPr>
        <w:t>Alam MU, Luby SP, Halder AK, Islam K, Opel A, Shoab AK, et al. Menstrual hygiene management</w:t>
      </w:r>
    </w:p>
    <w:p>
      <w:pPr>
        <w:jc w:val="left"/>
      </w:pPr>
      <w:r>
        <w:rPr>
          <w:rFonts w:ascii="Times New Roman" w:hAnsi="Times New Roman"/>
          <w:color w:val="000000"/>
        </w:rPr>
        <w:t>among Bangladeshi adolescent schoolgirls and risk factors affecting school absence: results from a cross-sectional survey. _BMJ Open._ 2017;7(7):e015508. https://doi.org/10.1136/bmjopen-2016-015508</w:t>
      </w:r>
    </w:p>
    <w:p>
      <w:pPr>
        <w:pStyle w:val="ListNumber"/>
        <w:jc w:val="left"/>
      </w:pPr>
      <w:r>
        <w:rPr>
          <w:rFonts w:ascii="Times New Roman" w:hAnsi="Times New Roman"/>
          <w:color w:val="000000"/>
        </w:rPr>
        <w:t>Upashe SP, Tekelab T, Mekonnen J. Assessment of knowledge and practice of menstrual hygiene</w:t>
      </w:r>
    </w:p>
    <w:p>
      <w:pPr>
        <w:jc w:val="left"/>
      </w:pPr>
      <w:r>
        <w:rPr>
          <w:rFonts w:ascii="Times New Roman" w:hAnsi="Times New Roman"/>
          <w:color w:val="000000"/>
        </w:rPr>
        <w:t>among high school girls in Western Ethiopia. _BMC Womens Health._ 2015;15:84. https://doi.org/10.1186/s12905-015-0245-7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