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Association Between Maternal Education and Menstrual Hygiene Knowledge and Practices Among Adolescent Girls: A School-Based Cross-Sectional Study in Lahore, Pakistan</w:t>
      </w:r>
    </w:p>
    <w:p>
      <w:pPr>
        <w:jc w:val="left"/>
      </w:pPr>
      <w:r>
        <w:rPr>
          <w:rFonts w:ascii="Times New Roman" w:hAnsi="Times New Roman"/>
          <w:b/>
          <w:color w:val="000000"/>
        </w:rPr>
        <w:t>Authors:</w:t>
      </w:r>
      <w:r>
        <w:rPr>
          <w:rFonts w:ascii="Times New Roman" w:hAnsi="Times New Roman"/>
          <w:color w:val="000000"/>
        </w:rPr>
        <w:t xml:space="preserve"> Dr Ayesha Javed; Dr Fatima Sohail</w:t>
      </w:r>
    </w:p>
    <w:p>
      <w:pPr>
        <w:jc w:val="left"/>
      </w:pPr>
      <w:r>
        <w:rPr>
          <w:rFonts w:ascii="Times New Roman" w:hAnsi="Times New Roman"/>
          <w:b/>
          <w:color w:val="000000"/>
        </w:rPr>
        <w:t>Study supervisor:</w:t>
      </w:r>
      <w:r>
        <w:rPr>
          <w:rFonts w:ascii="Times New Roman" w:hAnsi="Times New Roman"/>
          <w:color w:val="000000"/>
        </w:rPr>
        <w:t xml:space="preserve"> Dr Naureen Omar</w:t>
      </w:r>
    </w:p>
    <w:p>
      <w:pPr>
        <w:pStyle w:val="Heading2"/>
      </w:pPr>
      <w:r>
        <w:t>Abstract</w:t>
      </w:r>
    </w:p>
    <w:p>
      <w:pPr>
        <w:jc w:val="left"/>
      </w:pPr>
      <w:r>
        <w:rPr>
          <w:rFonts w:ascii="Times New Roman" w:hAnsi="Times New Roman"/>
          <w:color w:val="000000"/>
        </w:rPr>
        <w:t>Menstrual hygiene management affects adolescent health, dignity, and school participation, yet evidence on the relationship between maternal education and menstrual hygiene in sub-urban Pakistan is limited. This study aimed to assess menstrual hygiene knowledge and practices among adolescent girls and compare these outcomes across maternal education categories. This cross-sectional school-based study analyzed data from 120 adolescent girls in sub-urban Lahore, Pakistan. Knowledge scores ranged from 0 to 9 and practice scores from 0 to 7. Missing questionnaire responses were scored zero. Descriptive statistics, Kruskal-Wallis tests, effect sizes, correlations, and sensitivity analyses were performed. Mean age was 14.47 years (range 12-18), mean knowledge score was 6.65/9 (SD 1.22), and mean practice score was 5.68/7 (SD 0.58). Practice scores differed significantly across maternal education groups in the primary unadjusted comparison (H = 10.1562, p = 0.0379, epsilon-squared = 0.0853), whereas knowledge scores did not (H = 8.0427, p = 0.0900, epsilon-squared = 0.0676). A conservative exploratory Holm correction gave an adjusted practice p-value of 0.0758. Age correlated with knowledge (r = 0.314, p = 0.0005), and knowledge correlated with practice (r = 0.317, p = 0.0004). A complete-response practice analysis was not statistically significant (H = 8.6488, p = 0.0705). Maternal education was associated with menstrual hygiene practice in the primary unadjusted analysis, but sensitivity analyses, group imbalance, and possible confounding by age limit inference. Larger studies using validated measures and adjusted models are required.</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critical developmental period in which health-related attitudes and behaviors become established and often persist into adulthood. Menstrual health is a central component of adolescent well-being, particularly for girls who must navigate menarche, cycle management, personal hygiene, and social stigma within environments that may not provide adequate information or material support. International guidance from the World Health Organization and UNESCO frames menstrual health as a health, education, rights, and gender-equity issue that depends not only on hygiene materials but also on knowledge, supportive social norms, and safe sanitation environments [1-3].</w:t>
      </w:r>
    </w:p>
    <w:p>
      <w:pPr>
        <w:jc w:val="left"/>
      </w:pPr>
      <w:r>
        <w:rPr>
          <w:rFonts w:ascii="Times New Roman" w:hAnsi="Times New Roman"/>
          <w:color w:val="000000"/>
        </w:rPr>
        <w:t>In low- and middle-income settings, menstrual hygiene management is often constrained by silence around menstruation, cultural taboos, limited privacy, and restricted access to appropriate absorbents and disposal facilities. Adolescent girls may begin menstruation without prior preparation and may rely on informal or incomplete sources of information. These barriers can impair hygienic practice, contribute to discomfort and embarrassment, and interfere with schooling and social participation. Evidence from Ghana, Ethiopia, Nepal, India, and related settings suggests that menstrual knowledge and practice are shaped by parental education, access to information, and broader socioeconomic conditions [4-10].</w:t>
      </w:r>
    </w:p>
    <w:p>
      <w:pPr>
        <w:jc w:val="left"/>
      </w:pPr>
      <w:r>
        <w:rPr>
          <w:rFonts w:ascii="Times New Roman" w:hAnsi="Times New Roman"/>
          <w:color w:val="000000"/>
        </w:rPr>
        <w:t>Within Pakistan, the interaction between family environment, maternal education, and menstrual hygiene behavior remains highly relevant, especially in sub-urban communities where educational attainment, household resources, and social norms are heterogeneous. Maternal education may influence daughters' menstrual hygiene through communication, monitoring, modeling of hygienic routines, and facilitation of access to menstrual products. At the same time, greater maternal education may not necessarily translate into large measurable differences in formal menstrual knowledge if girls also receive information from peers, media, or school environments. The present study therefore examined menstrual hygiene knowledge and menstrual hygiene practices among adolescent girls in a sub-urban area of Lahore, Pakistan, with specific attention to differences across maternal education categories.</w:t>
      </w:r>
    </w:p>
    <w:p>
      <w:pPr>
        <w:pStyle w:val="Heading2"/>
      </w:pPr>
      <w:r>
        <w:t>2. Rationale and Objectives</w:t>
      </w:r>
    </w:p>
    <w:p>
      <w:pPr>
        <w:jc w:val="left"/>
      </w:pPr>
      <w:r>
        <w:rPr>
          <w:rFonts w:ascii="Times New Roman" w:hAnsi="Times New Roman"/>
          <w:color w:val="000000"/>
        </w:rPr>
        <w:t>This analysis addresses a practical public health question: whether maternal education is linked more strongly to what adolescent girls know about menstruation or to what they actually do during menstruation. Distinguishing between knowledge and practice is important because interventions that improve awareness alone may not be sufficient if behavior is constrained by household context, product access, or sanitation conditions. The study therefore aimed to assess menstrual hygiene knowledge and practice scores among adolescent girls and to determine whether these scores differed by maternal education level. Secondary objectives were to describe the demographic profile of the sample, summarize household economic indicators, and examine correlations among age, income, family size, and menstrual hygiene scores.</w:t>
      </w:r>
    </w:p>
    <w:p>
      <w:pPr>
        <w:pStyle w:val="Heading2"/>
      </w:pPr>
      <w:r>
        <w:t>3. Methods</w:t>
      </w:r>
    </w:p>
    <w:p>
      <w:pPr>
        <w:pStyle w:val="Heading3"/>
      </w:pPr>
      <w:r>
        <w:t>3.1 Study design, setting, and study synopsis</w:t>
      </w:r>
    </w:p>
    <w:p>
      <w:pPr>
        <w:jc w:val="left"/>
      </w:pPr>
      <w:r>
        <w:rPr>
          <w:rFonts w:ascii="Times New Roman" w:hAnsi="Times New Roman"/>
          <w:color w:val="000000"/>
        </w:rPr>
        <w:t>This cross-sectional school-based questionnaire study used the finalized survey dataset from Reach School on Sau Asal Road, Lahore. The original study synopsis specified a nine-month study period from March to December 2024, school-based participant recruitment, interviewer-administered questionnaires completed by the primary investigators, and an expected interview duration of approximately 15 to 20 minutes per participant.</w:t>
      </w:r>
    </w:p>
    <w:p>
      <w:pPr>
        <w:pStyle w:val="Heading3"/>
      </w:pPr>
      <w:r>
        <w:t>3.2 Participant selection and analytic sample</w:t>
      </w:r>
    </w:p>
    <w:p>
      <w:pPr>
        <w:jc w:val="left"/>
      </w:pPr>
      <w:r>
        <w:rPr>
          <w:rFonts w:ascii="Times New Roman" w:hAnsi="Times New Roman"/>
          <w:color w:val="000000"/>
        </w:rPr>
        <w:t>The study synopsis defined eligible participants as adolescent girls with parental consent and excluded students without parental consent or those unwilling to participate. It specified simple random sampling by lottery from a prepared list of eligible female students. The SPSS file contained 120 nonblank participant records and 40 fully blank trailing rows. The blank rows were treated as file artifacts rather than excluded participants. A recruitment denominator, response rate, and prospective sample-size calculation were not documented; all 120 nonblank participant records were included in the analysis.</w:t>
      </w:r>
    </w:p>
    <w:p>
      <w:pPr>
        <w:pStyle w:val="Heading3"/>
      </w:pPr>
      <w:r>
        <w:t>3.3 Study variables</w:t>
      </w:r>
    </w:p>
    <w:p>
      <w:pPr>
        <w:jc w:val="left"/>
      </w:pPr>
      <w:r>
        <w:rPr>
          <w:rFonts w:ascii="Times New Roman" w:hAnsi="Times New Roman"/>
          <w:color w:val="000000"/>
        </w:rPr>
        <w:t>The two principal outcomes were menstrual hygiene knowledge score and menstrual hygiene practice score. Knowledge score was treated as a bounded discrete score ranging from 0 to 9, and practice score was treated as a bounded discrete score ranging from 0 to 7. The primary explanatory variable was maternal education, coded from the SPSS metadata as 1 = Illiterate, 2 = Primary, 3 = Middle, 4 = Secondary, and 5 = Intermediate and above. Additional descriptive and exploratory variables included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Knowledge score was calculated from the Section III questionnaire items using the prespecified scoring key, with one correction based on the variable labels and biological validity. The key awarded the menstruation-process point to code 2, although the SPSS metadata defined code 1 as physiological/natural and code 2 as pathological/disease. Because menstruation is physiological rather than pathological, code 1 received the point in the primary analysis; the original coding was examined in a sensitivity analysis. Practice score was calculated from the Section IV questionnaire items using the prespecified scoring key. Missing or out-of-label questionnaire responses were assigned zero. Four scored items awarded one point to every listed response option: the absorbent and change-frequency items in both the knowledge and practice sections. These items contributed to the total scores but did not discriminate among participants. Per-capita income was calculated as monthly household income divided by total family members. When either income or family size was missing, or family size was zero, per-capita income was treated as missing rather than imputed.</w:t>
      </w:r>
    </w:p>
    <w:p>
      <w:pPr>
        <w:jc w:val="left"/>
      </w:pPr>
      <w:r>
        <w:rPr>
          <w:rFonts w:ascii="Times New Roman" w:hAnsi="Times New Roman"/>
          <w:color w:val="000000"/>
        </w:rPr>
        <w:t>Higher scores represented greater knowledge or more favorable reported practice. The questionnaire was study-specific; documentation of prior validation, reliability testing, language adaptation, or pilot testing was not available.</w:t>
      </w:r>
    </w:p>
    <w:p>
      <w:pPr>
        <w:pStyle w:val="Heading3"/>
      </w:pPr>
      <w:r>
        <w:t>3.5 Data quality procedures</w:t>
      </w:r>
    </w:p>
    <w:p>
      <w:pPr>
        <w:jc w:val="left"/>
      </w:pPr>
      <w:r>
        <w:rPr>
          <w:rFonts w:ascii="Times New Roman" w:hAnsi="Times New Roman"/>
          <w:color w:val="000000"/>
        </w:rPr>
        <w:t>Before analysis, missing values and categorical responses outside the SPSS value domains were identified. Conditional follow-up questions were distinguished from core variables so that expected skip-pattern missingness was not classified as poor data capture. Reported total family size was also compared with the sum of male and female family members.</w:t>
      </w:r>
    </w:p>
    <w:p>
      <w:pPr>
        <w:pStyle w:val="Heading3"/>
      </w:pPr>
      <w:r>
        <w:t>3.6 Statistical analysis</w:t>
      </w:r>
    </w:p>
    <w:p>
      <w:pPr>
        <w:jc w:val="left"/>
      </w:pPr>
      <w:r>
        <w:rPr>
          <w:rFonts w:ascii="Times New Roman" w:hAnsi="Times New Roman"/>
          <w:color w:val="000000"/>
        </w:rPr>
        <w:t>All analyses used a two-sided significance threshold of 0.05. Descriptive statistics were reported as counts and percentages for categorical variables and as mean, median, standard deviation, minimum, maximum, and quartiles for continuous variables. The two principal outcomes were knowledge and practice scores. Normality within groups was assessed using Shapiro-Wilk tests when group size permitted, and variance homogeneity was assessed using Levene's test when feasible. Because the scores were bounded and discrete and the education groups were markedly imbalanced, Kruskal-Wallis tests were used for the primary comparisons. Epsilon-squared was reported as the effect size. Unadjusted p-values are reported for the principal outcome comparisons. Because the study synopsis did not designate a single primary inferential outcome, a conservative exploratory Holm correction across knowledge and practice was examined as a sensitivity analysis.</w:t>
      </w:r>
    </w:p>
    <w:p>
      <w:pPr>
        <w:jc w:val="left"/>
      </w:pPr>
      <w:r>
        <w:rPr>
          <w:rFonts w:ascii="Times New Roman" w:hAnsi="Times New Roman"/>
          <w:color w:val="000000"/>
        </w:rPr>
        <w:t>Analyses were conducted in Python 3.12.7 using pandas 2.2.2, NumPy 1.26.4, and SciPy 1.13.1. Kruskal-Wallis p-values were asymptotic, and epsilon-squared was calculated as H/(n-1).</w:t>
      </w:r>
    </w:p>
    <w:p>
      <w:pPr>
        <w:jc w:val="left"/>
      </w:pPr>
      <w:r>
        <w:rPr>
          <w:rFonts w:ascii="Times New Roman" w:hAnsi="Times New Roman"/>
          <w:color w:val="000000"/>
        </w:rPr>
        <w:t>Pearson complete-case correlations were used to assess linear relationships among age, income, family size, per-capita income, knowledge score, practice score, and total score. These secondary correlations were exploratory and were not adjusted for multiple testing. Because income was strongly right-skewed and outlier-prone, rank-based Spearman correlations were also calculated. Additional sensitivity analyses repeated the Kruskal-Wallis tests after excluding the highest maternal education category, examined maternal education as an ordinal rank, checked whether age differed across maternal-education groups, restricted the practice analysis to complete responses, and applied the original scoring for the disputed knowledge item.</w:t>
      </w:r>
    </w:p>
    <w:p>
      <w:pPr>
        <w:pStyle w:val="Heading3"/>
      </w:pPr>
      <w:r>
        <w:t>3.7 Ethical considerations</w:t>
      </w:r>
    </w:p>
    <w:p>
      <w:pPr>
        <w:jc w:val="left"/>
      </w:pPr>
      <w:r>
        <w:rPr>
          <w:rFonts w:ascii="Times New Roman" w:hAnsi="Times New Roman"/>
          <w:color w:val="000000"/>
        </w:rPr>
        <w:t>Ethics approval and parental consent documentation could not be verified. The manuscript must not be submitted until the approving institution, approval identifier, and menstrual-hygiene-specific consent process are confirmed.</w:t>
      </w:r>
    </w:p>
    <w:p>
      <w:pPr>
        <w:pStyle w:val="Heading2"/>
      </w:pPr>
      <w:r>
        <w:t>4. Results</w:t>
      </w:r>
    </w:p>
    <w:p>
      <w:pPr>
        <w:pStyle w:val="Heading3"/>
      </w:pPr>
      <w:r>
        <w:t>4.1 Analytic sample</w:t>
      </w:r>
    </w:p>
    <w:p>
      <w:pPr>
        <w:jc w:val="left"/>
      </w:pPr>
      <w:r>
        <w:rPr>
          <w:rFonts w:ascii="Times New Roman" w:hAnsi="Times New Roman"/>
          <w:color w:val="000000"/>
        </w:rPr>
        <w:t>The analysis included 120 nonblank participant records. The additional 40 fully blank trailing rows in the SPSS file contained no participant data and were not counted as recruited or excluded participants. Numbers assessed for eligibility, invited, declining participation, and enrolled were not available.</w:t>
      </w:r>
    </w:p>
    <w:p>
      <w:pPr>
        <w:pStyle w:val="Heading3"/>
      </w:pPr>
      <w:r>
        <w:t>4.2 Demographic and household characteristics</w:t>
      </w:r>
    </w:p>
    <w:p>
      <w:pPr>
        <w:jc w:val="left"/>
      </w:pPr>
      <w:r>
        <w:rPr>
          <w:rFonts w:ascii="Times New Roman" w:hAnsi="Times New Roman"/>
          <w:color w:val="000000"/>
        </w:rPr>
        <w:t>The average age of the participants was 14.47 years (SD 1.40), and ages ranged from 12 to 18 years. Household income showed wide dispersion, with a mean monthly income of 48,833.33 and a maximum reported value of 600,000, indicating substantial right-skewness. Average family size was 6.66 members, and the mean per-capita income was 8,648.83. Maternal education was concentrated in the lower categories, with 71.7% of participants in the illiterate category and 14.2% in the primary category. Only one participant belonged to the highest category, Intermediate and above. Table 1 provides the full demographic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with a mean of 6.65 and a median of 7.00. Practice scores ranged from 4 to 7, with a mean of 5.68 and a median of 6.00. The score distributions indicated that practice scores were more tightly clustered than knowledge scores. The most common knowledge score was 7 (37.5%), whereas the most common practice score was 6 (71.7%). Table 2 summarizes the overall score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Figure 1 displays the overall score distributions graphically.</w:t>
      </w:r>
    </w:p>
    <w:p>
      <w:pPr>
        <w:pStyle w:val="Heading3"/>
      </w:pPr>
      <w:r>
        <w:t>4.4 Scores by maternal education</w:t>
      </w:r>
    </w:p>
    <w:p>
      <w:pPr>
        <w:jc w:val="left"/>
      </w:pPr>
      <w:r>
        <w:rPr>
          <w:rFonts w:ascii="Times New Roman" w:hAnsi="Times New Roman"/>
          <w:color w:val="000000"/>
        </w:rPr>
        <w:t>Groupwise descriptive statistics showed modest increases in mean scores with increasing maternal education, although the extreme imbalance of the groups, especially the single participant in the highest education category, limited direct interpretation of the upper end of the distribution. The mean knowledge score ranged from 6.53 in the illiterate and primary categories to 8.00 in the Intermediate and above category, while the mean practice score ranged from 5.59 in the illiterate category to 6.12 in the secondary category. Table 3 presents the score summary by maternal education.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(single value)</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(single value)</w:t>
            </w:r>
          </w:p>
        </w:tc>
      </w:tr>
    </w:tbl>
    <w:p/>
    <w:p>
      <w:pPr>
        <w:jc w:val="left"/>
      </w:pPr>
      <w:r>
        <w:rPr>
          <w:rFonts w:ascii="Times New Roman" w:hAnsi="Times New Roman"/>
          <w:color w:val="000000"/>
        </w:rPr>
        <w:t>Figures 2 and 3 show these groupwise patterns using bar plots with error bars and box plots, respectively.</w:t>
      </w:r>
    </w:p>
    <w:p>
      <w:pPr>
        <w:pStyle w:val="Heading3"/>
      </w:pPr>
      <w:r>
        <w:t>4.5 Inferential analysis for maternal education</w:t>
      </w:r>
    </w:p>
    <w:p>
      <w:pPr>
        <w:jc w:val="left"/>
      </w:pPr>
      <w:r>
        <w:rPr>
          <w:rFonts w:ascii="Times New Roman" w:hAnsi="Times New Roman"/>
          <w:color w:val="000000"/>
        </w:rPr>
        <w:t>Assumption checks indicated that parametric group-comparison methods were not appropriate for the primary analysis. Accordingly, Kruskal-Wallis tests were used for both outcomes. Practice scores differed significantly across maternal education groups in the primary unadjusted comparison (H = 10.1562, p = 0.0379, epsilon-squared = 0.0853). The omnibus knowledge-score comparison was not statistically significant (H = 8.0427, p = 0.0900, epsilon-squared = 0.0676). In the conservative exploratory Holm sensitivity correction across both outcomes, the adjusted practice p-value was 0.0758. A significant result for one outcome and a non-significant result for another does not itself prove that the two associations differ. Table 4 summarizes the inferential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Pearson complete-case analysis showed positive correlations between age and knowledge (r = 0.314, p = 0.0005), age and practice (r = 0.267, p = 0.0032), and knowledge and practice (r = 0.317, p = 0.0004). Family size was negatively correlated with knowledge (r = -0.201, p = 0.0279). Household income and per-capita income were not significantly correlated with either score in the Pearson analysis. These secondary results are exploratory because several correlations were examined without multiplicity correction. Correlations involving total score were not interpreted because total score is mathematically derived from knowledge and practice scores. Table 5 presents the score-related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provides a scatter-matrix view of the continuous-variable relationships.</w:t>
      </w:r>
    </w:p>
    <w:p>
      <w:pPr>
        <w:pStyle w:val="Heading3"/>
      </w:pPr>
      <w:r>
        <w:t>4.7 Data quality and sensitivity analyses</w:t>
      </w:r>
    </w:p>
    <w:p>
      <w:pPr>
        <w:jc w:val="left"/>
      </w:pPr>
      <w:r>
        <w:rPr>
          <w:rFonts w:ascii="Times New Roman" w:hAnsi="Times New Roman"/>
          <w:color w:val="000000"/>
        </w:rPr>
        <w:t>The data-quality assessment identified 550 missing cells and six categorical responses outside the labeled domains among 4,920 assessed cells. This total includes optional free-text and derived variables. The out-of-domain values comprised three maternal-occupation codes of 3, two menstruation-process codes of 5, and one handwashing code of 3. Among core non-conditional variables, 99.70% of cells were complete and within their labeled domains. Reported total family size agreed with the sum of male and female family members for all participants.</w:t>
      </w:r>
    </w:p>
    <w:p>
      <w:pPr>
        <w:jc w:val="left"/>
      </w:pPr>
      <w:r>
        <w:rPr>
          <w:rFonts w:ascii="Times New Roman" w:hAnsi="Times New Roman"/>
          <w:color w:val="000000"/>
        </w:rPr>
        <w:t>When the single participant in the highest maternal education category was excluded, the knowledge comparison remained non-significant (H = 6.3719, p = 0.0949, epsilon-squared = 0.0540), whereas the unadjusted practice comparison remained below 0.05 (H = 9.7515, p = 0.0208, epsilon-squared = 0.0826). Restricting the practice analysis to the 115 participants with complete responses on all seven practice items produced H = 8.6488 and p = 0.0705, indicating that the statistically significant primary practice result was sensitive to the prespecified missing-as-zero rule. Treating education as ordinal produced positive rank correlations with knowledge (rho = 0.2023, p = 0.0267) and practice (rho = 0.2684, p = 0.0030), but these exploratory trend tests were not multiplicity-adjusted. Age differed across maternal-education groups (H = 10.6913, p = 0.0303), so confounding by age remains plausible. Spearman correlations also preserved positive associations for age versus knowledge (rho = 0.3710, p &lt; 0.001) and knowledge versus practice (rho = 0.3650, p &lt; 0.001). Unlike the Pearson result, Spearman analysis found a weak positive association between income and knowledge (rho = 0.2160, p = 0.0178); income and practice remained non-significant. Applying the original pathological-response key instead of the corrected physiological-response coding produced a mean knowledge score of 5.82 and a non-significant omnibus comparison (H = 5.8669, p = 0.2093, epsilon-squared = 0.0493). Table 6 summarizes these sensitivity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Original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The primary analysis found a statistically significant unadjusted difference in practice scores across maternal-education groups, while the omnibus knowledge comparison was not statistically significant. This finding suggests a possible association between maternal education and reported menstrual hygiene practice in the observed sample. Its evidential strength was attenuated in conservative multiplicity and complete-response sensitivity analyses, and no formal test compared the strength of the knowledge and practice associations. Household routines, product access, supervision, and age are possible explanations, but the present unadjusted analysis cannot distinguish among them.</w:t>
      </w:r>
    </w:p>
    <w:p>
      <w:pPr>
        <w:jc w:val="left"/>
      </w:pPr>
      <w:r>
        <w:rPr>
          <w:rFonts w:ascii="Times New Roman" w:hAnsi="Times New Roman"/>
          <w:color w:val="000000"/>
        </w:rPr>
        <w:t>The positive correlation between age and knowledge score is also consistent with a developmental explanation. Older adolescent girls have had more time to experience menstruation, receive information from family or peers, and refine their understanding of cycle management. The positive correlation between knowledge and practice further indicates that better understanding is linked to better behavior, although the relationship is not so strong that knowledge can be assumed to translate automatically into practice. This is important in menstrual hygiene research, where structural barriers, stigma, and access limitations often moderate the effects of knowledge.</w:t>
      </w:r>
    </w:p>
    <w:p>
      <w:pPr>
        <w:pStyle w:val="Heading3"/>
      </w:pPr>
      <w:r>
        <w:t>6.1 Comparison with published studies</w:t>
      </w:r>
    </w:p>
    <w:p>
      <w:pPr>
        <w:jc w:val="left"/>
      </w:pPr>
      <w:r>
        <w:rPr>
          <w:rFonts w:ascii="Times New Roman" w:hAnsi="Times New Roman"/>
          <w:color w:val="000000"/>
        </w:rPr>
        <w:t>Studies from Pakistan show substantial variation in menstrual knowledge and practice across settings. In rural Sindh, Wasan et al. found that only one quarter of 25,305 adolescent girls and young women used materials classified as appropriate; having no education, compared with higher secondary or university education, was associated with greater odds of inappropriate material use (OR 3.90, 95% CI 3.36-4.52) [11]. In Khairpur, Aziz et al. reported satisfactory knowledge among 69.8% of urban participants and 38.4% of rural participants, while good practice was reported by 71.1% and 11.9%, respectively [12]. These large urban-rural differences indicate that schooling, resources, and local conditions may be as important as knowledge alone.</w:t>
      </w:r>
    </w:p>
    <w:p>
      <w:pPr>
        <w:jc w:val="left"/>
      </w:pPr>
      <w:r>
        <w:rPr>
          <w:rFonts w:ascii="Times New Roman" w:hAnsi="Times New Roman"/>
          <w:color w:val="000000"/>
        </w:rPr>
        <w:t>Pakistani studies also consistently identify mothers as an important source of menstrual information. Shah et al. reported that 51.7% of girls in Ghizer had not been aware of menstruation before menarche; reusable cloth or towels were used by 47.7%, disposable pads by 30.7%, and 65.3% of mothers had no formal education [13]. In Quetta, mothers were the main source of information for 67% of participants, 77.7% had received no menstrual-education session at school, and 68.7% used commercial pads [14]. In Lahore, Afzaal et al. found a positive correlation between knowledge and practice (r = 0.649, p &lt; 0.001), consistent with the direction observed in the present study [15]. These studies support a maternal communication pathway, but they do not establish that maternal education independently determines menstrual hygiene outcomes.</w:t>
      </w:r>
    </w:p>
    <w:p>
      <w:pPr>
        <w:jc w:val="left"/>
      </w:pPr>
      <w:r>
        <w:rPr>
          <w:rFonts w:ascii="Times New Roman" w:hAnsi="Times New Roman"/>
          <w:color w:val="000000"/>
        </w:rPr>
        <w:t>Evidence from neighboring South Asian settings similarly shows that knowledge and practice should be assessed separately. Dasgupta and Sarkar found that 48.75% of rural Indian participants knew that sanitary pads were appropriate, but only 11.25% used them [16]. Kumar et al. reported substantially greater pad use among girls with literate mothers than among those with illiterate mothers (62% versus 13%) [17]. In Nepal, Yadav et al. found that most respondents had fair or good knowledge, whereas only 40% met the study definition of good practice [18].</w:t>
      </w:r>
    </w:p>
    <w:p>
      <w:pPr>
        <w:jc w:val="left"/>
      </w:pPr>
      <w:r>
        <w:rPr>
          <w:rFonts w:ascii="Times New Roman" w:hAnsi="Times New Roman"/>
          <w:color w:val="000000"/>
        </w:rPr>
        <w:t>Findings on maternal education are not uniform. In Nepal, Bhusal reported lower adjusted odds of good practice among girls with literate mothers (AOR 0.52, 95% CI 0.30-0.89), but higher odds among girls with literate fathers (AOR 2.55, 95% CI 1.26-5.15) [7]. By contrast, Upashe et al. found that maternal secondary or higher education predicted both good knowledge (AOR 1.51, 95% CI 1.02-2.22) and good practice (AOR 2.03, 95% CI 1.38-2.97) in Ethiopia [21]. The present practice finding agrees in direction with Kumar et al. and Upashe et al., while the Bhusal result demonstrates that maternal education is not a universal stand-alone proxy for a supportive menstrual environment [7,17,21]. Differences in outcome definitions, age ranges, education categories, confounder adjustment, and social context prevent direct numerical comparison.</w:t>
      </w:r>
    </w:p>
    <w:p>
      <w:pPr>
        <w:jc w:val="left"/>
      </w:pPr>
      <w:r>
        <w:rPr>
          <w:rFonts w:ascii="Times New Roman" w:hAnsi="Times New Roman"/>
          <w:color w:val="000000"/>
        </w:rPr>
        <w:t>School and household conditions provide additional explanatory context. In Bangladesh, Haque et al. observed increases in high knowledge from 51.0% to 82.4% and in good practice from 28.8% to 88.9% after a six-month school-based educational intervention, although the uncontrolled design limits causal interpretation [19]. Alam et al. found that access to girls' toilets was associated with less menstrual-related school absence (adjusted prevalence difference -5.4 percentage points, 95% CI -10.0 to -1.6), whereas menstrual restrictions were associated with greater absence [20]. Together with the Pakistani findings, this evidence suggests that product access, household resources, privacy, sanitation, school facilities, communication, and social restrictions may mediate the relationship between education and menstrual hygiene behavior [11-15,20].</w:t>
      </w:r>
    </w:p>
    <w:p>
      <w:pPr>
        <w:jc w:val="left"/>
      </w:pPr>
      <w:r>
        <w:rPr>
          <w:rFonts w:ascii="Times New Roman" w:hAnsi="Times New Roman"/>
          <w:color w:val="000000"/>
        </w:rPr>
        <w:t>The study has several strengths. Data completeness and coding were examined before analysis, statistical assumptions were assessed, and effect sizes were reported alongside p-values. Targeted sensitivity analyses evaluated the influence of the smallest maternal-education group, missing practice responses, alternative scoring of a disputed knowledge item, and rank-based correlation methods.</w:t>
      </w:r>
    </w:p>
    <w:p>
      <w:pPr>
        <w:jc w:val="left"/>
      </w:pPr>
      <w:r>
        <w:rPr>
          <w:rFonts w:ascii="Times New Roman" w:hAnsi="Times New Roman"/>
          <w:color w:val="000000"/>
        </w:rPr>
        <w:t>The study also has important limitations. First, the design is cross-sectional, so the findings should be interpreted as associations rather than causal effects. Second, the analysis is unadjusted and bivariate; age differed across maternal-education groups and remains a plausible confounder, while school context, product access, and other family-level factors were not controlled. Third, the statistically significant unadjusted practice result was attenuated by the exploratory Holm and complete-response sensitivity analyses. Fourth, maternal education groups are severely imbalanced, especially in the highest category, limiting precision and making fine-grained comparisons unstable; the omnibus result also does not identify which groups differ. Fifth, assigning zero to missing or invalid questionnaire responses may have biased scores downward when non-response did not represent lack of knowledge or poor practice. Sixth, four score items were nondiscriminating because every listed response option received one point, which limits construct validity and inflates the apparent proportion of the maximum score. Seventh, one knowledge item required correction because the original scoring key contradicted the biological meaning of the labeled responses. Eighth, six responses were outside their SPSS value-label domains. Ninth, secondary correlations and ordinal trends were exploratory and unadjusted for multiple testing. Finally, the single-school sample may not generalize to other adolescents in Lahore or elsewhere in Pakistan.</w:t>
      </w:r>
    </w:p>
    <w:p>
      <w:pPr>
        <w:jc w:val="left"/>
      </w:pPr>
      <w:r>
        <w:rPr>
          <w:rFonts w:ascii="Times New Roman" w:hAnsi="Times New Roman"/>
          <w:color w:val="000000"/>
        </w:rPr>
        <w:t>Taken together, the findings support interventions that do more than provide factual menstrual health information. Programs in similar settings should likely include behavior-focused support, caregiver engagement, and practical measures that improve product access, privacy, and safe disposal. Future work would be strengthened by larger and more balanced samples, explicitly adjusted multivariable models, and prospective or mixed-methods designs that can clarify how maternal education influences menstrual hygiene behavior in real-world settings.</w:t>
      </w:r>
    </w:p>
    <w:p>
      <w:pPr>
        <w:pStyle w:val="Heading2"/>
      </w:pPr>
      <w:r>
        <w:t>7. Conclusion</w:t>
      </w:r>
    </w:p>
    <w:p>
      <w:pPr>
        <w:jc w:val="left"/>
      </w:pPr>
      <w:r>
        <w:rPr>
          <w:rFonts w:ascii="Times New Roman" w:hAnsi="Times New Roman"/>
          <w:color w:val="000000"/>
        </w:rPr>
        <w:t>In this sub-urban Lahore sample, practice scores differed significantly across maternal-education groups, while the omnibus knowledge comparison was not statistically significant. Older age was associated with higher knowledge and practice scores, and knowledge was positively associated with practice. These findings suggest, but do not establish, a relationship between maternal education and menstrual hygiene behavior. Sensitivity analyses and possible age confounding indicate that any independent contribution requires confirmation. Larger studies with validated scoring, balanced education groups, documented ethics procedures, and adjusted models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Ethics approval and parental consent documentation could not be verified. The approving institution, approval identifier, and study-specific consent process must be confirmed before submission.</w:t>
      </w:r>
    </w:p>
    <w:p>
      <w:pPr>
        <w:pStyle w:val="Heading3"/>
      </w:pPr>
      <w:r>
        <w:t>Funding</w:t>
      </w:r>
    </w:p>
    <w:p>
      <w:pPr>
        <w:jc w:val="left"/>
      </w:pPr>
      <w:r>
        <w:rPr>
          <w:rFonts w:ascii="Times New Roman" w:hAnsi="Times New Roman"/>
          <w:color w:val="000000"/>
        </w:rPr>
        <w:t>The authors must provide a final funding declaration before submission.</w:t>
      </w:r>
    </w:p>
    <w:p>
      <w:pPr>
        <w:pStyle w:val="Heading3"/>
      </w:pPr>
      <w:r>
        <w:t>Competing interests</w:t>
      </w:r>
    </w:p>
    <w:p>
      <w:pPr>
        <w:jc w:val="left"/>
      </w:pPr>
      <w:r>
        <w:rPr>
          <w:rFonts w:ascii="Times New Roman" w:hAnsi="Times New Roman"/>
          <w:color w:val="000000"/>
        </w:rPr>
        <w:t>The authors must provide a final competing-interests declaration before submission.</w:t>
      </w:r>
    </w:p>
    <w:p>
      <w:pPr>
        <w:pStyle w:val="Heading3"/>
      </w:pPr>
      <w:r>
        <w:t>Data and materials availability</w:t>
      </w:r>
    </w:p>
    <w:p>
      <w:pPr>
        <w:jc w:val="left"/>
      </w:pPr>
      <w:r>
        <w:rPr>
          <w:rFonts w:ascii="Times New Roman" w:hAnsi="Times New Roman"/>
          <w:color w:val="000000"/>
        </w:rPr>
        <w:t>The study dataset is not publicly available. Access conditions must be determined by the responsible institution following confirmation of the applicable ethics and consent restrictions.</w:t>
      </w:r>
    </w:p>
    <w:p>
      <w:pPr>
        <w:pStyle w:val="Heading3"/>
      </w:pPr>
      <w:r>
        <w:t>Author contributions</w:t>
      </w:r>
    </w:p>
    <w:p>
      <w:pPr>
        <w:jc w:val="left"/>
      </w:pPr>
      <w:r>
        <w:rPr>
          <w:rFonts w:ascii="Times New Roman" w:hAnsi="Times New Roman"/>
          <w:color w:val="000000"/>
        </w:rPr>
        <w:t>Naureen Omar supervised the study. Ayesha Javed and Fatima Sohail conducted the investigation.</w:t>
      </w:r>
    </w:p>
    <w:p>
      <w:pPr>
        <w:pStyle w:val="Heading2"/>
      </w:pPr>
      <w:r>
        <w:t>9. References</w:t>
      </w:r>
    </w:p>
    <w:p>
      <w:pPr>
        <w:pStyle w:val="ListNumber"/>
        <w:jc w:val="left"/>
      </w:pPr>
      <w:r>
        <w:rPr>
          <w:rFonts w:ascii="Times New Roman" w:hAnsi="Times New Roman"/>
          <w:color w:val="000000"/>
        </w:rPr>
        <w:t>World Health Organization. _Strengthening the health sector response to adolescent health and</w:t>
      </w:r>
    </w:p>
    <w:p>
      <w:pPr>
        <w:jc w:val="left"/>
      </w:pPr>
      <w:r>
        <w:rPr>
          <w:rFonts w:ascii="Times New Roman" w:hAnsi="Times New Roman"/>
          <w:color w:val="000000"/>
        </w:rPr>
        <w:t>development._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World Health Organization. _WHO statement on menstrual health and rights._ 22 June 2022.</w:t>
      </w:r>
    </w:p>
    <w:p>
      <w:pPr>
        <w:jc w:val="left"/>
      </w:pPr>
      <w:r>
        <w:rPr>
          <w:rFonts w:ascii="Times New Roman" w:hAnsi="Times New Roman"/>
          <w:color w:val="000000"/>
        </w:rPr>
        <w:t>Available from: https://www.who.int/news/item/22-06-2022-who-statement-on-menstrual-health-and-rights (No DOI; accessed 2026-03-19).</w:t>
      </w:r>
    </w:p>
    <w:p>
      <w:pPr>
        <w:pStyle w:val="ListNumber"/>
        <w:jc w:val="left"/>
      </w:pPr>
      <w:r>
        <w:rPr>
          <w:rFonts w:ascii="Times New Roman" w:hAnsi="Times New Roman"/>
          <w:color w:val="000000"/>
        </w:rPr>
        <w:t>UNESCO. _Puberty education &amp; menstrual hygiene management._ Good Policy and Practice in Health</w:t>
      </w:r>
    </w:p>
    <w:p>
      <w:pPr>
        <w:jc w:val="left"/>
      </w:pPr>
      <w:r>
        <w:rPr>
          <w:rFonts w:ascii="Times New Roman" w:hAnsi="Times New Roman"/>
          <w:color w:val="000000"/>
        </w:rPr>
        <w:t>Education Booklet 9. Paris: UNESCO; 2014. Available from: https://unesdoc.unesco.org/ark:/48223/pf0000226792 (No DOI; accessed 2026-07-12).</w:t>
      </w:r>
    </w:p>
    <w:p>
      <w:pPr>
        <w:pStyle w:val="ListNumber"/>
        <w:jc w:val="left"/>
      </w:pPr>
      <w:r>
        <w:rPr>
          <w:rFonts w:ascii="Times New Roman" w:hAnsi="Times New Roman"/>
          <w:color w:val="000000"/>
        </w:rPr>
        <w:t>Kumbeni MT, Otupiri E, Ziba FA. Menstrual hygiene among adolescent girls in junior high schools</w:t>
      </w:r>
    </w:p>
    <w:p>
      <w:pPr>
        <w:jc w:val="left"/>
      </w:pPr>
      <w:r>
        <w:rPr>
          <w:rFonts w:ascii="Times New Roman" w:hAnsi="Times New Roman"/>
          <w:color w:val="000000"/>
        </w:rPr>
        <w:t>in rural Northern Ghana. _Pan Afr Med J._ 2020;37:190. https://doi.org/10.11604/pamj.2020.37.190.19015</w:t>
      </w:r>
    </w:p>
    <w:p>
      <w:pPr>
        <w:pStyle w:val="ListNumber"/>
        <w:jc w:val="left"/>
      </w:pPr>
      <w:r>
        <w:rPr>
          <w:rFonts w:ascii="Times New Roman" w:hAnsi="Times New Roman"/>
          <w:color w:val="000000"/>
        </w:rPr>
        <w:t>Sahiledengle B, Atlaw D, Kumie A, Tekalegn Y, Woldeyohannes D, Agho KE. Menstrual hygiene</w:t>
      </w:r>
    </w:p>
    <w:p>
      <w:pPr>
        <w:jc w:val="left"/>
      </w:pPr>
      <w:r>
        <w:rPr>
          <w:rFonts w:ascii="Times New Roman" w:hAnsi="Times New Roman"/>
          <w:color w:val="000000"/>
        </w:rPr>
        <w:t>practice among adolescent girls in Ethiopia: a systematic review and meta-analysis. _PLoS One._ 2022;17(1):e0262295. https://doi.org/10.1371/journal.pone.0262295</w:t>
      </w:r>
    </w:p>
    <w:p>
      <w:pPr>
        <w:pStyle w:val="ListNumber"/>
        <w:jc w:val="left"/>
      </w:pPr>
      <w:r>
        <w:rPr>
          <w:rFonts w:ascii="Times New Roman" w:hAnsi="Times New Roman"/>
          <w:color w:val="000000"/>
        </w:rPr>
        <w:t>Belayneh Z, Mekuriaw B. Knowledge and menstrual hygiene practice among adolescent school girls in</w:t>
      </w:r>
    </w:p>
    <w:p>
      <w:pPr>
        <w:jc w:val="left"/>
      </w:pPr>
      <w:r>
        <w:rPr>
          <w:rFonts w:ascii="Times New Roman" w:hAnsi="Times New Roman"/>
          <w:color w:val="000000"/>
        </w:rPr>
        <w:t>southern Ethiopia: a cross-sectional study. _BMC Public Health._ 2019;19(1):1595. https://doi.org/10.1186/s12889-019-7973-9</w:t>
      </w:r>
    </w:p>
    <w:p>
      <w:pPr>
        <w:pStyle w:val="ListNumber"/>
        <w:jc w:val="left"/>
      </w:pPr>
      <w:r>
        <w:rPr>
          <w:rFonts w:ascii="Times New Roman" w:hAnsi="Times New Roman"/>
          <w:color w:val="000000"/>
        </w:rPr>
        <w:t>Bhusal CK. Practice of menstrual hygiene and associated factors among adolescent school girls in</w:t>
      </w:r>
    </w:p>
    <w:p>
      <w:pPr>
        <w:jc w:val="left"/>
      </w:pPr>
      <w:r>
        <w:rPr>
          <w:rFonts w:ascii="Times New Roman" w:hAnsi="Times New Roman"/>
          <w:color w:val="000000"/>
        </w:rPr>
        <w:t>Dang District, Nepal. _Adv Prev Med._ 2020;2020:1292070. https://doi.org/10.1155/2020/1292070</w:t>
      </w:r>
    </w:p>
    <w:p>
      <w:pPr>
        <w:pStyle w:val="ListNumber"/>
        <w:jc w:val="left"/>
      </w:pPr>
      <w:r>
        <w:rPr>
          <w:rFonts w:ascii="Times New Roman" w:hAnsi="Times New Roman"/>
          <w:color w:val="000000"/>
        </w:rPr>
        <w:t>Bhusal CK, Bhattarai S, Kafle R, Shrestha R, Chhetri P, Adhikari K. Level and associated factors</w:t>
      </w:r>
    </w:p>
    <w:p>
      <w:pPr>
        <w:jc w:val="left"/>
      </w:pPr>
      <w:r>
        <w:rPr>
          <w:rFonts w:ascii="Times New Roman" w:hAnsi="Times New Roman"/>
          <w:color w:val="000000"/>
        </w:rPr>
        <w:t>of knowledge regarding menstrual hygiene among school-going adolescent girls in Dang District, Nepal. _Adv Prev Med._ 2020;2020:8872119. https://doi.org/10.1155/2020/8872119</w:t>
      </w:r>
    </w:p>
    <w:p>
      <w:pPr>
        <w:pStyle w:val="ListNumber"/>
        <w:jc w:val="left"/>
      </w:pPr>
      <w:r>
        <w:rPr>
          <w:rFonts w:ascii="Times New Roman" w:hAnsi="Times New Roman"/>
          <w:color w:val="000000"/>
        </w:rPr>
        <w:t>Sonowal P, Talukdar K, Saikia H. Sociodemographic factors and their association with menstrual</w:t>
      </w:r>
    </w:p>
    <w:p>
      <w:pPr>
        <w:jc w:val="left"/>
      </w:pPr>
      <w:r>
        <w:rPr>
          <w:rFonts w:ascii="Times New Roman" w:hAnsi="Times New Roman"/>
          <w:color w:val="000000"/>
        </w:rPr>
        <w:t>hygiene practices among adolescent girls in urban slums of Dibrugarh town, Assam. _J Family Med Prim Care._ 2021;10(12):4446-4451. https://doi.org/10.4103/jfmpc.jfmpc_703_21</w:t>
      </w:r>
    </w:p>
    <w:p>
      <w:pPr>
        <w:pStyle w:val="ListNumber"/>
        <w:jc w:val="left"/>
      </w:pPr>
      <w:r>
        <w:rPr>
          <w:rFonts w:ascii="Times New Roman" w:hAnsi="Times New Roman"/>
          <w:color w:val="000000"/>
        </w:rPr>
        <w:t>Srivastava U, Singh KK. Exploring knowledge and perceptions of school adolescents regarding</w:t>
      </w:r>
    </w:p>
    <w:p>
      <w:pPr>
        <w:jc w:val="left"/>
      </w:pPr>
      <w:r>
        <w:rPr>
          <w:rFonts w:ascii="Times New Roman" w:hAnsi="Times New Roman"/>
          <w:color w:val="000000"/>
        </w:rPr>
        <w:t>pubertal changes and reproductive health. _Indian J Youth Adolesc Health._ 2017;4(1):26-35. https://doi.org/10.24321/2349.2880.201705</w:t>
      </w:r>
    </w:p>
    <w:p>
      <w:pPr>
        <w:pStyle w:val="ListNumber"/>
        <w:jc w:val="left"/>
      </w:pPr>
      <w:r>
        <w:rPr>
          <w:rFonts w:ascii="Times New Roman" w:hAnsi="Times New Roman"/>
          <w:color w:val="000000"/>
        </w:rPr>
        <w:t>Wasan Y, Baxter JAB, Rizvi A, Shaheen F, Junejo Q, Abro MA, et al. Practices and predictors of</w:t>
      </w:r>
    </w:p>
    <w:p>
      <w:pPr>
        <w:jc w:val="left"/>
      </w:pPr>
      <w:r>
        <w:rPr>
          <w:rFonts w:ascii="Times New Roman" w:hAnsi="Times New Roman"/>
          <w:color w:val="000000"/>
        </w:rPr>
        <w:t>menstrual hygiene management material use among adolescent and young women in rural Pakistan: a cross-sectional assessment. _J Glob Health._ 2022;12:04059. https://doi.org/10.7189/jogh.12.04059</w:t>
      </w:r>
    </w:p>
    <w:p>
      <w:pPr>
        <w:pStyle w:val="ListNumber"/>
        <w:jc w:val="left"/>
      </w:pPr>
      <w:r>
        <w:rPr>
          <w:rFonts w:ascii="Times New Roman" w:hAnsi="Times New Roman"/>
          <w:color w:val="000000"/>
        </w:rPr>
        <w:t>Aziz A, Memon S, Aziz F, Memon F, Khowaja BMH, Zafar SN. A comparative study of the knowledge</w:t>
      </w:r>
    </w:p>
    <w:p>
      <w:pPr>
        <w:jc w:val="left"/>
      </w:pPr>
      <w:r>
        <w:rPr>
          <w:rFonts w:ascii="Times New Roman" w:hAnsi="Times New Roman"/>
          <w:color w:val="000000"/>
        </w:rPr>
        <w:t>and practices related to menstrual hygiene among adolescent girls in urban and rural areas of Sindh, Pakistan: a cross-sectional study. _Womens Health (Lond)._ 2024;20:17455057241231420. https://doi.org/10.1177/17455057241231420</w:t>
      </w:r>
    </w:p>
    <w:p>
      <w:pPr>
        <w:pStyle w:val="ListNumber"/>
        <w:jc w:val="left"/>
      </w:pPr>
      <w:r>
        <w:rPr>
          <w:rFonts w:ascii="Times New Roman" w:hAnsi="Times New Roman"/>
          <w:color w:val="000000"/>
        </w:rPr>
        <w:t>Shah SF, Punjani NS, Rizvi SN, Sheikh SS, Jan R. Knowledge, attitudes, and practices regarding</w:t>
      </w:r>
    </w:p>
    <w:p>
      <w:pPr>
        <w:jc w:val="left"/>
      </w:pPr>
      <w:r>
        <w:rPr>
          <w:rFonts w:ascii="Times New Roman" w:hAnsi="Times New Roman"/>
          <w:color w:val="000000"/>
        </w:rPr>
        <w:t>menstrual hygiene among girls in Ghizer, Gilgit, Pakistan. _Int J Environ Res Public Health._ 2023;20(14):6424. https://doi.org/10.3390/ijerph20146424</w:t>
      </w:r>
    </w:p>
    <w:p>
      <w:pPr>
        <w:pStyle w:val="ListNumber"/>
        <w:jc w:val="left"/>
      </w:pPr>
      <w:r>
        <w:rPr>
          <w:rFonts w:ascii="Times New Roman" w:hAnsi="Times New Roman"/>
          <w:color w:val="000000"/>
        </w:rPr>
        <w:t>Michael J, Iqbal Q, Haider S, Khalid A, Haque N, Ishaq R, et al. Knowledge and practice of</w:t>
      </w:r>
    </w:p>
    <w:p>
      <w:pPr>
        <w:jc w:val="left"/>
      </w:pPr>
      <w:r>
        <w:rPr>
          <w:rFonts w:ascii="Times New Roman" w:hAnsi="Times New Roman"/>
          <w:color w:val="000000"/>
        </w:rPr>
        <w:t>adolescent females about menstruation and menstruation hygiene visiting a public healthcare institute of Quetta, Pakistan. _BMC Womens Health._ 2020;20(1):4. https://doi.org/10.1186/s12905-019-0874-3</w:t>
      </w:r>
    </w:p>
    <w:p>
      <w:pPr>
        <w:pStyle w:val="ListNumber"/>
        <w:jc w:val="left"/>
      </w:pPr>
      <w:r>
        <w:rPr>
          <w:rFonts w:ascii="Times New Roman" w:hAnsi="Times New Roman"/>
          <w:color w:val="000000"/>
        </w:rPr>
        <w:t>Afzaal SS, Baloch S, Tahir S, Javed H, Saeed A, Pal MHA, et al. Awareness and practices of</w:t>
      </w:r>
    </w:p>
    <w:p>
      <w:pPr>
        <w:jc w:val="left"/>
      </w:pPr>
      <w:r>
        <w:rPr>
          <w:rFonts w:ascii="Times New Roman" w:hAnsi="Times New Roman"/>
          <w:color w:val="000000"/>
        </w:rPr>
        <w:t>menstrual hygiene among rural adolescent schoolgirls in Lahore, Pakistan: a cross-sectional study. _Cureus._ 2024;16(11):e73899. https://doi.org/10.7759/cureus.73899</w:t>
      </w:r>
    </w:p>
    <w:p>
      <w:pPr>
        <w:pStyle w:val="ListNumber"/>
        <w:jc w:val="left"/>
      </w:pPr>
      <w:r>
        <w:rPr>
          <w:rFonts w:ascii="Times New Roman" w:hAnsi="Times New Roman"/>
          <w:color w:val="000000"/>
        </w:rPr>
        <w:t>Dasgupta A, Sarkar M. Menstrual hygiene: how hygienic is the adolescent girl? _Indian J</w:t>
      </w:r>
    </w:p>
    <w:p>
      <w:pPr>
        <w:jc w:val="left"/>
      </w:pPr>
      <w:r>
        <w:rPr>
          <w:rFonts w:ascii="Times New Roman" w:hAnsi="Times New Roman"/>
          <w:color w:val="000000"/>
        </w:rPr>
        <w:t>Community Med._ 2008;33(2):77-80. https://doi.org/10.4103/0970-0218.40872</w:t>
      </w:r>
    </w:p>
    <w:p>
      <w:pPr>
        <w:pStyle w:val="ListNumber"/>
        <w:jc w:val="left"/>
      </w:pPr>
      <w:r>
        <w:rPr>
          <w:rFonts w:ascii="Times New Roman" w:hAnsi="Times New Roman"/>
          <w:color w:val="000000"/>
        </w:rPr>
        <w:t>Kumar A, Kansal S, Singh S. Menstrual hygiene practices in context of schooling: a community</w:t>
      </w:r>
    </w:p>
    <w:p>
      <w:pPr>
        <w:jc w:val="left"/>
      </w:pPr>
      <w:r>
        <w:rPr>
          <w:rFonts w:ascii="Times New Roman" w:hAnsi="Times New Roman"/>
          <w:color w:val="000000"/>
        </w:rPr>
        <w:t>study among rural adolescent girls in Varanasi. _Indian J Community Med._ 2016;41(1):39-44. https://doi.org/10.4103/0970-0218.170964</w:t>
      </w:r>
    </w:p>
    <w:p>
      <w:pPr>
        <w:pStyle w:val="ListNumber"/>
        <w:jc w:val="left"/>
      </w:pPr>
      <w:r>
        <w:rPr>
          <w:rFonts w:ascii="Times New Roman" w:hAnsi="Times New Roman"/>
          <w:color w:val="000000"/>
        </w:rPr>
        <w:t>Yadav RN, Joshi S, Poudel R, Pandeya P. Knowledge, attitude, and practice on menstrual hygiene</w:t>
      </w:r>
    </w:p>
    <w:p>
      <w:pPr>
        <w:jc w:val="left"/>
      </w:pPr>
      <w:r>
        <w:rPr>
          <w:rFonts w:ascii="Times New Roman" w:hAnsi="Times New Roman"/>
          <w:color w:val="000000"/>
        </w:rPr>
        <w:t>management among school adolescents. _J Nepal Health Res Counc._ 2018;15(3):212-216. https://doi.org/10.3126/jnhrc.v15i3.18842</w:t>
      </w:r>
    </w:p>
    <w:p>
      <w:pPr>
        <w:pStyle w:val="ListNumber"/>
        <w:jc w:val="left"/>
      </w:pPr>
      <w:r>
        <w:rPr>
          <w:rFonts w:ascii="Times New Roman" w:hAnsi="Times New Roman"/>
          <w:color w:val="000000"/>
        </w:rPr>
        <w:t>Haque SE, Rahman M, Kawashima I, Mutahara M, Sakisaka K. The effect of a school-based</w:t>
      </w:r>
    </w:p>
    <w:p>
      <w:pPr>
        <w:jc w:val="left"/>
      </w:pPr>
      <w:r>
        <w:rPr>
          <w:rFonts w:ascii="Times New Roman" w:hAnsi="Times New Roman"/>
          <w:color w:val="000000"/>
        </w:rPr>
        <w:t>educational intervention on menstrual health: an intervention study among adolescent girls in Bangladesh. _BMJ Open._ 2014;4(7):e004607. https://doi.org/10.1136/bmjopen-2013-004607</w:t>
      </w:r>
    </w:p>
    <w:p>
      <w:pPr>
        <w:pStyle w:val="ListNumber"/>
        <w:jc w:val="left"/>
      </w:pPr>
      <w:r>
        <w:rPr>
          <w:rFonts w:ascii="Times New Roman" w:hAnsi="Times New Roman"/>
          <w:color w:val="000000"/>
        </w:rPr>
        <w:t>Alam MU, Luby SP, Halder AK, Islam K, Opel A, Shoab AK, et al. Menstrual hygiene management</w:t>
      </w:r>
    </w:p>
    <w:p>
      <w:pPr>
        <w:jc w:val="left"/>
      </w:pPr>
      <w:r>
        <w:rPr>
          <w:rFonts w:ascii="Times New Roman" w:hAnsi="Times New Roman"/>
          <w:color w:val="000000"/>
        </w:rPr>
        <w:t>among Bangladeshi adolescent schoolgirls and risk factors affecting school absence: results from a cross-sectional survey. _BMJ Open._ 2017;7(7):e015508. https://doi.org/10.1136/bmjopen-2016-015508</w:t>
      </w:r>
    </w:p>
    <w:p>
      <w:pPr>
        <w:pStyle w:val="ListNumber"/>
        <w:jc w:val="left"/>
      </w:pPr>
      <w:r>
        <w:rPr>
          <w:rFonts w:ascii="Times New Roman" w:hAnsi="Times New Roman"/>
          <w:color w:val="000000"/>
        </w:rPr>
        <w:t>Upashe SP, Tekelab T, Mekonnen J. Assessment of knowledge and practice of menstrual hygiene</w:t>
      </w:r>
    </w:p>
    <w:p>
      <w:pPr>
        <w:jc w:val="left"/>
      </w:pPr>
      <w:r>
        <w:rPr>
          <w:rFonts w:ascii="Times New Roman" w:hAnsi="Times New Roman"/>
          <w:color w:val="000000"/>
        </w:rPr>
        <w:t>among high school girls in Western Ethiopia. _BMC Womens Health._ 2015;15:84. https://doi.org/10.1186/s12905-015-0245-7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