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Note à la direction : quantités à prévoir pour les fêtes de 2026</w:t>
      </w:r>
    </w:p>
    <w:p>
      <w:r>
        <w:t>Objet : préparer les approvisionnements des 10 points de vente pour 2026. Les prévisions viennent d'un modèle de gradient boosting (perte de Poisson) qui n'utilise que ce qui est connu un an à l'avance : le calendrier des fêtes, le point de vente et la catégorie. Testé une seule fois sur 2025, il se trompe en moyenne de 15,9 % (WAPE), contre 19,8 % pour une simple reconduction de l'année précédente. Volume total prévu pour 2026 : 6 902 339 unités, hors promotions.</w:t>
      </w:r>
    </w:p>
    <w:p>
      <w:pPr>
        <w:pStyle w:val="Heading2"/>
      </w:pPr>
      <w:r>
        <w:t>Quantités recommandées (semaine J-7 à J-1)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2211"/>
          </w:tcPr>
          <w:p>
            <w:r>
              <w:rPr>
                <w:b/>
                <w:sz w:val="17"/>
              </w:rPr>
              <w:t>Fête et lieu</w:t>
            </w:r>
          </w:p>
        </w:tc>
        <w:tc>
          <w:tcPr>
            <w:tcW w:type="dxa" w:w="2494"/>
          </w:tcPr>
          <w:p>
            <w:r>
              <w:rPr>
                <w:b/>
                <w:sz w:val="17"/>
              </w:rPr>
              <w:t>Catégorie (unité)</w:t>
            </w:r>
          </w:p>
        </w:tc>
        <w:tc>
          <w:tcPr>
            <w:tcW w:type="dxa" w:w="1134"/>
          </w:tcPr>
          <w:p>
            <w:r>
              <w:rPr>
                <w:b/>
                <w:sz w:val="17"/>
              </w:rPr>
              <w:t>Réel 2025</w:t>
            </w:r>
          </w:p>
        </w:tc>
        <w:tc>
          <w:tcPr>
            <w:tcW w:type="dxa" w:w="1134"/>
          </w:tcPr>
          <w:p>
            <w:r>
              <w:rPr>
                <w:b/>
                <w:sz w:val="17"/>
              </w:rPr>
              <w:t>Prévu 2026</w:t>
            </w:r>
          </w:p>
        </w:tc>
        <w:tc>
          <w:tcPr>
            <w:tcW w:type="dxa" w:w="1587"/>
          </w:tcPr>
          <w:p>
            <w:r>
              <w:rPr>
                <w:b/>
                <w:sz w:val="17"/>
              </w:rPr>
              <w:t>Stock prudent 2026</w:t>
            </w:r>
          </w:p>
        </w:tc>
        <w:tc>
          <w:tcPr>
            <w:tcW w:type="dxa" w:w="1304"/>
          </w:tcPr>
          <w:p>
            <w:r>
              <w:rPr>
                <w:b/>
                <w:sz w:val="17"/>
              </w:rPr>
              <w:t>Écart 2026/2025</w:t>
            </w:r>
          </w:p>
        </w:tc>
      </w:tr>
      <w:tr>
        <w:tc>
          <w:tcPr>
            <w:tcW w:type="dxa" w:w="2211"/>
          </w:tcPr>
          <w:p>
            <w:r>
              <w:rPr>
                <w:sz w:val="17"/>
              </w:rPr>
              <w:t>Tabaski (10 magasins)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betail_mouton (tête)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184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161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305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-12,5 %</w:t>
            </w:r>
          </w:p>
        </w:tc>
      </w:tr>
      <w:tr>
        <w:tc>
          <w:tcPr>
            <w:tcW w:type="dxa" w:w="2211"/>
          </w:tcPr>
          <w:p>
            <w:r>
              <w:rPr>
                <w:sz w:val="17"/>
              </w:rPr>
              <w:t>Tabaski (10 magasins)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oignons (kg)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37 237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36 386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43 376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-2,3 %</w:t>
            </w:r>
          </w:p>
        </w:tc>
      </w:tr>
      <w:tr>
        <w:tc>
          <w:tcPr>
            <w:tcW w:type="dxa" w:w="2211"/>
          </w:tcPr>
          <w:p>
            <w:r>
              <w:rPr>
                <w:sz w:val="17"/>
              </w:rPr>
              <w:t>Tabaski (10 magasins)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tissus_habillement (article)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4 167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3 810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5 008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-8,6 %</w:t>
            </w:r>
          </w:p>
        </w:tc>
      </w:tr>
      <w:tr>
        <w:tc>
          <w:tcPr>
            <w:tcW w:type="dxa" w:w="2211"/>
          </w:tcPr>
          <w:p>
            <w:r>
              <w:rPr>
                <w:sz w:val="17"/>
              </w:rPr>
              <w:t>Tabaski (10 magasins)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beaute_coiffure (article)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6 407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6 079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7 483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-5,1 %</w:t>
            </w:r>
          </w:p>
        </w:tc>
      </w:tr>
      <w:tr>
        <w:tc>
          <w:tcPr>
            <w:tcW w:type="dxa" w:w="2211"/>
          </w:tcPr>
          <w:p>
            <w:r>
              <w:rPr>
                <w:sz w:val="17"/>
              </w:rPr>
              <w:t>Magal de Touba (Touba)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riz (kg)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12 558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11 729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12 598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-6,6 %</w:t>
            </w:r>
          </w:p>
        </w:tc>
      </w:tr>
      <w:tr>
        <w:tc>
          <w:tcPr>
            <w:tcW w:type="dxa" w:w="2211"/>
          </w:tcPr>
          <w:p>
            <w:r>
              <w:rPr>
                <w:sz w:val="17"/>
              </w:rPr>
              <w:t>Magal de Touba (Touba)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boissons (bouteille)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4 932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4 304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5 759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-12,7 %</w:t>
            </w:r>
          </w:p>
        </w:tc>
      </w:tr>
      <w:tr>
        <w:tc>
          <w:tcPr>
            <w:tcW w:type="dxa" w:w="2211"/>
          </w:tcPr>
          <w:p>
            <w:r>
              <w:rPr>
                <w:sz w:val="17"/>
              </w:rPr>
              <w:t>Magal de Touba (Touba)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huile (litre)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2 976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2 586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2 981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-13,1 %</w:t>
            </w:r>
          </w:p>
        </w:tc>
      </w:tr>
      <w:tr>
        <w:tc>
          <w:tcPr>
            <w:tcW w:type="dxa" w:w="2211"/>
          </w:tcPr>
          <w:p>
            <w:r>
              <w:rPr>
                <w:sz w:val="17"/>
              </w:rPr>
              <w:t>Magal de Touba (Touba)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sucre (kg)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3 845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3 060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3 836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-20,4 %</w:t>
            </w:r>
          </w:p>
        </w:tc>
      </w:tr>
      <w:tr>
        <w:tc>
          <w:tcPr>
            <w:tcW w:type="dxa" w:w="2211"/>
          </w:tcPr>
          <w:p>
            <w:r>
              <w:rPr>
                <w:sz w:val="17"/>
              </w:rPr>
              <w:t>Noël (10 magasins)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jouets_cadeaux (article)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2 538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2 325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3 195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-8,4 %</w:t>
            </w:r>
          </w:p>
        </w:tc>
      </w:tr>
      <w:tr>
        <w:tc>
          <w:tcPr>
            <w:tcW w:type="dxa" w:w="2211"/>
          </w:tcPr>
          <w:p>
            <w:r>
              <w:rPr>
                <w:sz w:val="17"/>
              </w:rPr>
              <w:t>Noël (10 magasins)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volaille (unité)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4 260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4 192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5 341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-1,6 %</w:t>
            </w:r>
          </w:p>
        </w:tc>
      </w:tr>
      <w:tr>
        <w:tc>
          <w:tcPr>
            <w:tcW w:type="dxa" w:w="2211"/>
          </w:tcPr>
          <w:p>
            <w:r>
              <w:rPr>
                <w:sz w:val="17"/>
              </w:rPr>
              <w:t>Noël (10 magasins)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boissons (bouteille)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23 790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23 021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27 801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-3,2 %</w:t>
            </w:r>
          </w:p>
        </w:tc>
      </w:tr>
      <w:tr>
        <w:tc>
          <w:tcPr>
            <w:tcW w:type="dxa" w:w="2211"/>
          </w:tcPr>
          <w:p>
            <w:r>
              <w:rPr>
                <w:sz w:val="17"/>
              </w:rPr>
              <w:t>Noël (10 magasins)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tissus_habillement (article)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3 326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2 956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3 914</w:t>
            </w:r>
          </w:p>
        </w:tc>
        <w:tc>
          <w:tcPr>
            <w:tcW w:type="dxa" w:w="1304"/>
          </w:tcPr>
          <w:p>
            <w:r>
              <w:rPr>
                <w:sz w:val="17"/>
              </w:rPr>
              <w:t>-11,1 %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987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tabaski_2025_2026_alignee_j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98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Hypothèses retenues</w:t>
      </w:r>
    </w:p>
    <w:p>
      <w:pPr>
        <w:pStyle w:val="ListBullet"/>
      </w:pPr>
      <w:r>
        <w:t>Dates des fêtes 2026 du calendrier fourni (Tabaski le 28/05/2026) ; elles peuvent varier d'un jour selon la lune.</w:t>
      </w:r>
    </w:p>
    <w:p>
      <w:pPr>
        <w:pStyle w:val="ListBullet"/>
      </w:pPr>
      <w:r>
        <w:t>Aucune promotion planifiée : chaque jour de promotion ajoute environ 30 % de ventes sur la catégorie concernée.</w:t>
      </w:r>
    </w:p>
    <w:p>
      <w:pPr>
        <w:pStyle w:val="ListBullet"/>
      </w:pPr>
      <w:r>
        <w:t>Le « stock prudent » est le quantile 90 % journalier : il limite les ruptures à environ un jour sur sept, contre un sur deux avec la prévision moyenne.</w:t>
      </w:r>
    </w:p>
    <w:p>
      <w:pPr>
        <w:pStyle w:val="Heading2"/>
      </w:pPr>
      <w:r>
        <w:t>Limites</w:t>
      </w:r>
    </w:p>
    <w:p>
      <w:pPr>
        <w:pStyle w:val="ListBullet"/>
      </w:pPr>
      <w:r>
        <w:t>Toutes les prévisions 2026 sont inférieures au réel 2025 (de -1,6 % à -20,4 %) : ce n'est pas une baisse attendue de la demande, mais l'effet de l'hypothèse sans promotion et de la sous-estimation des pics. Le stock prudent couvre le réel 2025 dans presque tous les cas.</w:t>
      </w:r>
    </w:p>
    <w:p>
      <w:pPr>
        <w:pStyle w:val="ListBullet"/>
      </w:pPr>
      <w:r>
        <w:t>Les pics sont sous-estimés : en 2025, le modèle a prévu 21 % de moutons de moins que le réel dans la semaine de la Tabaski. Pour les produits de fête, commander au niveau du stock prudent.</w:t>
      </w:r>
    </w:p>
    <w:p>
      <w:pPr>
        <w:pStyle w:val="ListBullet"/>
      </w:pPr>
      <w:r>
        <w:t>Les intervalles de prévision sont un peu étroits (74,9 % de couverture au lieu de 80 %).</w:t>
      </w:r>
    </w:p>
    <w:p>
      <w:pPr>
        <w:pStyle w:val="ListBullet"/>
      </w:pPr>
      <w:r>
        <w:t>Le pèlerinage de Popenguine (25/05/2026) tombe trois jours avant la Tabaski : les deux demandes se cumulent à Mbour.</w:t>
      </w:r>
    </w:p>
    <w:p>
      <w:pPr>
        <w:pStyle w:val="ListBullet"/>
      </w:pPr>
      <w:r>
        <w:t>Données fictives, à visée pédagogique : ces chiffres ne décrivent aucune communauté réelle.</w:t>
      </w:r>
    </w:p>
    <w:sectPr w:rsidR="00FC693F" w:rsidRPr="0006063C" w:rsidSect="00034616">
      <w:pgSz w:w="11906" w:h="16838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