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440"/>
        <w:jc w:val="center"/>
      </w:pPr>
      <w:r>
        <w:drawing>
          <wp:inline xmlns:a="http://schemas.openxmlformats.org/drawingml/2006/main" xmlns:pic="http://schemas.openxmlformats.org/drawingml/2006/picture">
            <wp:extent cx="1325880" cy="1323831"/>
            <wp:docPr id="1" name="Picture 1" descr="OpenWA logo"/>
            <wp:cNvGraphicFramePr>
              <a:graphicFrameLocks noChangeAspect="1"/>
            </wp:cNvGraphicFramePr>
            <a:graphic>
              <a:graphicData uri="http://schemas.openxmlformats.org/drawingml/2006/picture">
                <pic:pic>
                  <pic:nvPicPr>
                    <pic:cNvPr id="0" name="openwa_logo.png"/>
                    <pic:cNvPicPr/>
                  </pic:nvPicPr>
                  <pic:blipFill>
                    <a:blip r:embed="rId13"/>
                    <a:stretch>
                      <a:fillRect/>
                    </a:stretch>
                  </pic:blipFill>
                  <pic:spPr>
                    <a:xfrm>
                      <a:off x="0" y="0"/>
                      <a:ext cx="1325880" cy="1323831"/>
                    </a:xfrm>
                    <a:prstGeom prst="rect"/>
                  </pic:spPr>
                </pic:pic>
              </a:graphicData>
            </a:graphic>
          </wp:inline>
        </w:drawing>
      </w:r>
    </w:p>
    <w:p>
      <w:pPr>
        <w:spacing w:after="200"/>
        <w:jc w:val="center"/>
      </w:pPr>
      <w:r>
        <w:rPr>
          <w:rFonts w:ascii="Calibri" w:hAnsi="Calibri"/>
          <w:b/>
          <w:color w:val="1F6B45"/>
          <w:sz w:val="26"/>
        </w:rPr>
        <w:t>OPENWA v0.23.2</w:t>
      </w:r>
    </w:p>
    <w:p>
      <w:pPr>
        <w:spacing w:after="200"/>
        <w:jc w:val="center"/>
      </w:pPr>
      <w:r>
        <w:rPr>
          <w:rFonts w:ascii="Calibri" w:hAnsi="Calibri"/>
          <w:b/>
          <w:color w:val="0B2545"/>
          <w:sz w:val="58"/>
        </w:rPr>
        <w:t>Operations &amp; SaaS Handbook</w:t>
      </w:r>
    </w:p>
    <w:p>
      <w:pPr>
        <w:spacing w:after="760"/>
        <w:jc w:val="center"/>
      </w:pPr>
      <w:r>
        <w:rPr>
          <w:rFonts w:ascii="Calibri" w:hAnsi="Calibri"/>
          <w:color w:val="1F4D78"/>
          <w:sz w:val="27"/>
        </w:rPr>
        <w:t>Capabilities, realistic sending limits, plugins, webhooks, deployment, security, and ready-to-use templates</w:t>
      </w:r>
    </w:p>
    <w:p>
      <w:pPr>
        <w:spacing w:after="120"/>
        <w:jc w:val="center"/>
      </w:pPr>
      <w:r>
        <w:rPr>
          <w:rFonts w:ascii="Calibri" w:hAnsi="Calibri"/>
          <w:i/>
          <w:color w:val="5F6B7A"/>
          <w:sz w:val="21"/>
        </w:rPr>
        <w:t>Prepared for the local Windows installation and future customization</w:t>
      </w:r>
    </w:p>
    <w:p>
      <w:pPr>
        <w:jc w:val="center"/>
      </w:pPr>
      <w:r>
        <w:rPr>
          <w:rFonts w:ascii="Calibri" w:hAnsi="Calibri"/>
          <w:color w:val="5F6B7A"/>
          <w:sz w:val="19"/>
        </w:rPr>
        <w:t>Repository: rmyndharis/OpenWA  •  Version: 0.23.2  •  24 August 2026</w:t>
      </w:r>
    </w:p>
    <w:p>
      <w:r>
        <w:br w:type="page"/>
      </w:r>
    </w:p>
    <w:p>
      <w:r>
        <w:rPr>
          <w:rFonts w:ascii="Calibri" w:hAnsi="Calibri"/>
          <w:b/>
          <w:color w:val="0B2545"/>
          <w:sz w:val="40"/>
        </w:rPr>
        <w:t>How to use this handbook</w:t>
      </w:r>
    </w:p>
    <w:p>
      <w:pPr>
        <w:spacing w:after="120" w:line="300" w:lineRule="auto"/>
      </w:pPr>
      <w:r>
        <w:rPr>
          <w:rFonts w:ascii="Calibri" w:hAnsi="Calibri"/>
          <w:color w:val="161B22"/>
          <w:sz w:val="22"/>
        </w:rPr>
        <w:t>Read Sections 1–3 first. They answer what the project can do, how fast it can send, and where the account-ban risk comes from. Use Sections 7–10 before exposing the system publicly or selling it as a service.</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CE8E8"/>
            <w:tcMar>
              <w:top w:w="140" w:type="dxa"/>
              <w:start w:w="120" w:type="dxa"/>
              <w:bottom w:w="140" w:type="dxa"/>
              <w:end w:w="120" w:type="dxa"/>
            </w:tcMar>
          </w:tcPr>
          <w:p>
            <w:pPr>
              <w:spacing w:after="60"/>
            </w:pPr>
            <w:r>
              <w:rPr>
                <w:rFonts w:ascii="Calibri" w:hAnsi="Calibri"/>
                <w:b/>
                <w:color w:val="9B1C1C"/>
                <w:sz w:val="21"/>
              </w:rPr>
              <w:t>The most important fact</w:t>
            </w:r>
          </w:p>
          <w:p>
            <w:pPr>
              <w:spacing w:after="0" w:line="276" w:lineRule="auto"/>
            </w:pPr>
            <w:r>
              <w:rPr>
                <w:rFonts w:ascii="Calibri" w:hAnsi="Calibri"/>
                <w:color w:val="161B22"/>
                <w:sz w:val="20"/>
              </w:rPr>
              <w:t>OpenWA is an unofficial WhatsApp Web gateway. It is powerful and fully self-hosted, but it is not Meta’s official WhatsApp Business Platform. No messages-per-second setting can eliminate restriction or ban risk.</w:t>
            </w:r>
          </w:p>
        </w:tc>
      </w:tr>
    </w:tbl>
    <w:p>
      <w:pPr>
        <w:spacing w:after="0"/>
      </w:pPr>
    </w:p>
    <w:p>
      <w:pPr>
        <w:pStyle w:val="Heading2"/>
        <w:keepNext/>
        <w:pageBreakBefore w:val="0"/>
      </w:pPr>
      <w:r>
        <w:t>Contents</w:t>
      </w:r>
    </w:p>
    <w:p>
      <w:pPr>
        <w:spacing w:after="80" w:line="300" w:lineRule="auto"/>
        <w:numPr>
          <w:ilvl w:val="0"/>
          <w:numId w:val="11"/>
        </w:numPr>
      </w:pPr>
      <w:r>
        <w:rPr>
          <w:rFonts w:ascii="Calibri" w:hAnsi="Calibri"/>
          <w:color w:val="161B22"/>
          <w:sz w:val="22"/>
        </w:rPr>
        <w:t>Executive answer</w:t>
      </w:r>
    </w:p>
    <w:p>
      <w:pPr>
        <w:spacing w:after="80" w:line="300" w:lineRule="auto"/>
        <w:numPr>
          <w:ilvl w:val="0"/>
          <w:numId w:val="11"/>
        </w:numPr>
      </w:pPr>
      <w:r>
        <w:rPr>
          <w:rFonts w:ascii="Calibri" w:hAnsi="Calibri"/>
          <w:color w:val="161B22"/>
          <w:sz w:val="22"/>
        </w:rPr>
        <w:t>What OpenWA is—and is not</w:t>
      </w:r>
    </w:p>
    <w:p>
      <w:pPr>
        <w:spacing w:after="80" w:line="300" w:lineRule="auto"/>
        <w:numPr>
          <w:ilvl w:val="0"/>
          <w:numId w:val="11"/>
        </w:numPr>
      </w:pPr>
      <w:r>
        <w:rPr>
          <w:rFonts w:ascii="Calibri" w:hAnsi="Calibri"/>
          <w:color w:val="161B22"/>
          <w:sz w:val="22"/>
        </w:rPr>
        <w:t>Messaging capacity and safe pacing</w:t>
      </w:r>
    </w:p>
    <w:p>
      <w:pPr>
        <w:spacing w:after="80" w:line="300" w:lineRule="auto"/>
        <w:numPr>
          <w:ilvl w:val="0"/>
          <w:numId w:val="11"/>
        </w:numPr>
      </w:pPr>
      <w:r>
        <w:rPr>
          <w:rFonts w:ascii="Calibri" w:hAnsi="Calibri"/>
          <w:color w:val="161B22"/>
          <w:sz w:val="22"/>
        </w:rPr>
        <w:t>Capability map</w:t>
      </w:r>
    </w:p>
    <w:p>
      <w:pPr>
        <w:spacing w:after="80" w:line="300" w:lineRule="auto"/>
        <w:numPr>
          <w:ilvl w:val="0"/>
          <w:numId w:val="11"/>
        </w:numPr>
      </w:pPr>
      <w:r>
        <w:rPr>
          <w:rFonts w:ascii="Calibri" w:hAnsi="Calibri"/>
          <w:color w:val="161B22"/>
          <w:sz w:val="22"/>
        </w:rPr>
        <w:t>Choosing the WhatsApp engine</w:t>
      </w:r>
    </w:p>
    <w:p>
      <w:pPr>
        <w:spacing w:after="80" w:line="300" w:lineRule="auto"/>
        <w:numPr>
          <w:ilvl w:val="0"/>
          <w:numId w:val="11"/>
        </w:numPr>
      </w:pPr>
      <w:r>
        <w:rPr>
          <w:rFonts w:ascii="Calibri" w:hAnsi="Calibri"/>
          <w:color w:val="161B22"/>
          <w:sz w:val="22"/>
        </w:rPr>
        <w:t>Dashboard and API workflow</w:t>
      </w:r>
    </w:p>
    <w:p>
      <w:pPr>
        <w:spacing w:after="80" w:line="300" w:lineRule="auto"/>
        <w:numPr>
          <w:ilvl w:val="0"/>
          <w:numId w:val="11"/>
        </w:numPr>
      </w:pPr>
      <w:r>
        <w:rPr>
          <w:rFonts w:ascii="Calibri" w:hAnsi="Calibri"/>
          <w:color w:val="161B22"/>
          <w:sz w:val="22"/>
        </w:rPr>
        <w:t>Plugins explained</w:t>
      </w:r>
    </w:p>
    <w:p>
      <w:pPr>
        <w:spacing w:after="80" w:line="300" w:lineRule="auto"/>
        <w:numPr>
          <w:ilvl w:val="0"/>
          <w:numId w:val="11"/>
        </w:numPr>
      </w:pPr>
      <w:r>
        <w:rPr>
          <w:rFonts w:ascii="Calibri" w:hAnsi="Calibri"/>
          <w:color w:val="161B22"/>
          <w:sz w:val="22"/>
        </w:rPr>
        <w:t>Webhooks explained</w:t>
      </w:r>
    </w:p>
    <w:p>
      <w:pPr>
        <w:spacing w:after="80" w:line="300" w:lineRule="auto"/>
        <w:numPr>
          <w:ilvl w:val="0"/>
          <w:numId w:val="11"/>
        </w:numPr>
      </w:pPr>
      <w:r>
        <w:rPr>
          <w:rFonts w:ascii="Calibri" w:hAnsi="Calibri"/>
          <w:color w:val="161B22"/>
          <w:sz w:val="22"/>
        </w:rPr>
        <w:t>Deployment guide</w:t>
      </w:r>
    </w:p>
    <w:p>
      <w:pPr>
        <w:spacing w:after="80" w:line="300" w:lineRule="auto"/>
        <w:numPr>
          <w:ilvl w:val="0"/>
          <w:numId w:val="11"/>
        </w:numPr>
      </w:pPr>
      <w:r>
        <w:rPr>
          <w:rFonts w:ascii="Calibri" w:hAnsi="Calibri"/>
          <w:color w:val="161B22"/>
          <w:sz w:val="22"/>
        </w:rPr>
        <w:t>Security hardening</w:t>
      </w:r>
    </w:p>
    <w:p>
      <w:pPr>
        <w:spacing w:after="80" w:line="300" w:lineRule="auto"/>
        <w:numPr>
          <w:ilvl w:val="0"/>
          <w:numId w:val="11"/>
        </w:numPr>
      </w:pPr>
      <w:r>
        <w:rPr>
          <w:rFonts w:ascii="Calibri" w:hAnsi="Calibri"/>
          <w:color w:val="161B22"/>
          <w:sz w:val="22"/>
        </w:rPr>
        <w:t>SaaS architecture and gaps</w:t>
      </w:r>
    </w:p>
    <w:p>
      <w:pPr>
        <w:spacing w:after="80" w:line="300" w:lineRule="auto"/>
        <w:numPr>
          <w:ilvl w:val="0"/>
          <w:numId w:val="11"/>
        </w:numPr>
      </w:pPr>
      <w:r>
        <w:rPr>
          <w:rFonts w:ascii="Calibri" w:hAnsi="Calibri"/>
          <w:color w:val="161B22"/>
          <w:sz w:val="22"/>
        </w:rPr>
        <w:t>Ready-to-use message templates</w:t>
      </w:r>
    </w:p>
    <w:p>
      <w:pPr>
        <w:spacing w:after="80" w:line="300" w:lineRule="auto"/>
        <w:numPr>
          <w:ilvl w:val="0"/>
          <w:numId w:val="11"/>
        </w:numPr>
      </w:pPr>
      <w:r>
        <w:rPr>
          <w:rFonts w:ascii="Calibri" w:hAnsi="Calibri"/>
          <w:color w:val="161B22"/>
          <w:sz w:val="22"/>
        </w:rPr>
        <w:t>Operations and upgrades</w:t>
      </w:r>
    </w:p>
    <w:p>
      <w:pPr>
        <w:spacing w:after="80" w:line="300" w:lineRule="auto"/>
        <w:numPr>
          <w:ilvl w:val="0"/>
          <w:numId w:val="11"/>
        </w:numPr>
      </w:pPr>
      <w:r>
        <w:rPr>
          <w:rFonts w:ascii="Calibri" w:hAnsi="Calibri"/>
          <w:color w:val="161B22"/>
          <w:sz w:val="22"/>
        </w:rPr>
        <w:t>Go-live checklist</w:t>
      </w:r>
    </w:p>
    <w:p>
      <w:pPr>
        <w:spacing w:after="80" w:line="300" w:lineRule="auto"/>
        <w:numPr>
          <w:ilvl w:val="0"/>
          <w:numId w:val="11"/>
        </w:numPr>
      </w:pPr>
      <w:r>
        <w:rPr>
          <w:rFonts w:ascii="Calibri" w:hAnsi="Calibri"/>
          <w:color w:val="161B22"/>
          <w:sz w:val="22"/>
        </w:rPr>
        <w:t>Glossary and sources</w:t>
      </w:r>
    </w:p>
    <w:p>
      <w:pPr>
        <w:pageBreakBefore/>
        <w:spacing w:before="0" w:after="0" w:line="240" w:lineRule="auto"/>
      </w:pPr>
      <w:r>
        <w:rPr>
          <w:rFonts w:ascii="Calibri" w:hAnsi="Calibri"/>
          <w:color w:val="FFFFFF"/>
          <w:sz w:val="2"/>
        </w:rPr>
        <w:t>​</w:t>
      </w:r>
    </w:p>
    <w:p>
      <w:pPr>
        <w:pStyle w:val="Heading1"/>
        <w:keepNext/>
      </w:pPr>
      <w:r>
        <w:t>1. Executive answer</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FF4D6"/>
            <w:tcMar>
              <w:top w:w="140" w:type="dxa"/>
              <w:start w:w="120" w:type="dxa"/>
              <w:bottom w:w="140" w:type="dxa"/>
              <w:end w:w="120" w:type="dxa"/>
            </w:tcMar>
          </w:tcPr>
          <w:p>
            <w:pPr>
              <w:spacing w:after="60"/>
            </w:pPr>
            <w:r>
              <w:rPr>
                <w:rFonts w:ascii="Calibri" w:hAnsi="Calibri"/>
                <w:b/>
                <w:color w:val="7A5A00"/>
                <w:sz w:val="21"/>
              </w:rPr>
              <w:t>How many messages per second?</w:t>
            </w:r>
          </w:p>
          <w:p>
            <w:pPr>
              <w:spacing w:after="0" w:line="276" w:lineRule="auto"/>
            </w:pPr>
            <w:r>
              <w:rPr>
                <w:rFonts w:ascii="Calibri" w:hAnsi="Calibri"/>
                <w:color w:val="161B22"/>
                <w:sz w:val="20"/>
              </w:rPr>
              <w:t>There is no guaranteed safe number. In the built-in bulk sender, one batch defaults to one message every 3–5 seconds—about 12–20 per minute, roughly 15/minute on average. The API permits a 1-second minimum delay, but that is only a technical setting. It is not a WhatsApp-approved or ban-safe rate.</w:t>
            </w:r>
          </w:p>
        </w:tc>
      </w:tr>
    </w:tbl>
    <w:p>
      <w:pPr>
        <w:spacing w:after="0"/>
      </w:pPr>
    </w:p>
    <w:tbl>
      <w:tblPr>
        <w:tblStyle w:val="TableGrid"/>
        <w:tblW w:type="dxa" w:w="9360"/>
        <w:jc w:val="left"/>
        <w:tblLayout w:type="fixed"/>
        <w:tblLook w:firstColumn="1" w:firstRow="1" w:lastColumn="0" w:lastRow="0" w:noHBand="0" w:noVBand="1" w:val="04A0"/>
        <w:tblLayout w:type="fixed"/>
        <w:tblInd w:w="120" w:type="dxa"/>
      </w:tblPr>
      <w:tblGrid>
        <w:gridCol w:w="2376"/>
        <w:gridCol w:w="6984"/>
      </w:tblGrid>
      <w:tr>
        <w:trPr>
          <w:cantSplit/>
          <w:tblHeader w:val="true"/>
        </w:trPr>
        <w:tc>
          <w:tcPr>
            <w:tcW w:type="dxa" w:w="2376"/>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Question</w:t>
            </w:r>
          </w:p>
        </w:tc>
        <w:tc>
          <w:tcPr>
            <w:tcW w:type="dxa" w:w="6984"/>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Clear answer</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61B22"/>
                <w:sz w:val="18"/>
              </w:rPr>
              <w:t>What can it do?</w:t>
            </w:r>
          </w:p>
        </w:tc>
        <w:tc>
          <w:tcPr>
            <w:tcW w:type="dxa" w:w="6984"/>
            <w:vAlign w:val="center"/>
            <w:tcMar>
              <w:top w:w="80" w:type="dxa"/>
              <w:start w:w="120" w:type="dxa"/>
              <w:bottom w:w="80" w:type="dxa"/>
              <w:end w:w="120" w:type="dxa"/>
            </w:tcMar>
          </w:tcPr>
          <w:p>
            <w:pPr>
              <w:spacing w:before="0" w:after="40" w:line="252" w:lineRule="auto"/>
            </w:pPr>
            <w:r>
              <w:rPr>
                <w:rFonts w:ascii="Calibri" w:hAnsi="Calibri"/>
                <w:b w:val="0"/>
                <w:color w:val="161B22"/>
                <w:sz w:val="18"/>
              </w:rPr>
              <w:t>Run multiple WhatsApp sessions; send/receive text and media; manage chats, groups, status, calls, labels and channels; expose REST, WebSocket, webhooks, dashboard, SDKs and an optional MCP surface.</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61B22"/>
                <w:sz w:val="18"/>
              </w:rPr>
              <w:t>Can I use all of it locally?</w:t>
            </w:r>
          </w:p>
        </w:tc>
        <w:tc>
          <w:tcPr>
            <w:tcW w:type="dxa" w:w="6984"/>
            <w:vAlign w:val="center"/>
            <w:tcMar>
              <w:top w:w="80" w:type="dxa"/>
              <w:start w:w="120" w:type="dxa"/>
              <w:bottom w:w="80" w:type="dxa"/>
              <w:end w:w="120" w:type="dxa"/>
            </w:tcMar>
          </w:tcPr>
          <w:p>
            <w:pPr>
              <w:spacing w:before="0" w:after="40" w:line="252" w:lineRule="auto"/>
            </w:pPr>
            <w:r>
              <w:rPr>
                <w:rFonts w:ascii="Calibri" w:hAnsi="Calibri"/>
                <w:b w:val="0"/>
                <w:color w:val="161B22"/>
                <w:sz w:val="18"/>
              </w:rPr>
              <w:t>Yes. The complete source is local, editable and buildable. Development uses Node 24 and ports 2785/2886; production is designed for Docker.</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61B22"/>
                <w:sz w:val="18"/>
              </w:rPr>
              <w:t>Are plugins like browser plugins?</w:t>
            </w:r>
          </w:p>
        </w:tc>
        <w:tc>
          <w:tcPr>
            <w:tcW w:type="dxa" w:w="6984"/>
            <w:vAlign w:val="center"/>
            <w:tcMar>
              <w:top w:w="80" w:type="dxa"/>
              <w:start w:w="120" w:type="dxa"/>
              <w:bottom w:w="80" w:type="dxa"/>
              <w:end w:w="120" w:type="dxa"/>
            </w:tcMar>
          </w:tcPr>
          <w:p>
            <w:pPr>
              <w:spacing w:before="0" w:after="40" w:line="252" w:lineRule="auto"/>
            </w:pPr>
            <w:r>
              <w:rPr>
                <w:rFonts w:ascii="Calibri" w:hAnsi="Calibri"/>
                <w:b w:val="0"/>
                <w:color w:val="161B22"/>
                <w:sz w:val="18"/>
              </w:rPr>
              <w:t>No. They are server-side extension packages that react to hooks, transform traffic, call allowed capabilities, store configuration, and integrate systems such as Chatwoot or Typebot.</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61B22"/>
                <w:sz w:val="18"/>
              </w:rPr>
              <w:t>What are webhooks?</w:t>
            </w:r>
          </w:p>
        </w:tc>
        <w:tc>
          <w:tcPr>
            <w:tcW w:type="dxa" w:w="6984"/>
            <w:vAlign w:val="center"/>
            <w:tcMar>
              <w:top w:w="80" w:type="dxa"/>
              <w:start w:w="120" w:type="dxa"/>
              <w:bottom w:w="80" w:type="dxa"/>
              <w:end w:w="120" w:type="dxa"/>
            </w:tcMar>
          </w:tcPr>
          <w:p>
            <w:pPr>
              <w:spacing w:before="0" w:after="40" w:line="252" w:lineRule="auto"/>
            </w:pPr>
            <w:r>
              <w:rPr>
                <w:rFonts w:ascii="Calibri" w:hAnsi="Calibri"/>
                <w:b w:val="0"/>
                <w:color w:val="161B22"/>
                <w:sz w:val="18"/>
              </w:rPr>
              <w:t>Outbound HTTPS notifications from OpenWA to your application when an event occurs—for example message.received or session.disconnected.</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61B22"/>
                <w:sz w:val="18"/>
              </w:rPr>
              <w:t>Is it already a SaaS platform?</w:t>
            </w:r>
          </w:p>
        </w:tc>
        <w:tc>
          <w:tcPr>
            <w:tcW w:type="dxa" w:w="6984"/>
            <w:vAlign w:val="center"/>
            <w:tcMar>
              <w:top w:w="80" w:type="dxa"/>
              <w:start w:w="120" w:type="dxa"/>
              <w:bottom w:w="80" w:type="dxa"/>
              <w:end w:w="120" w:type="dxa"/>
            </w:tcMar>
          </w:tcPr>
          <w:p>
            <w:pPr>
              <w:spacing w:before="0" w:after="40" w:line="252" w:lineRule="auto"/>
            </w:pPr>
            <w:r>
              <w:rPr>
                <w:rFonts w:ascii="Calibri" w:hAnsi="Calibri"/>
                <w:b w:val="0"/>
                <w:color w:val="161B22"/>
                <w:sz w:val="18"/>
              </w:rPr>
              <w:t>No. It is multi-session, not multi-tenant. Tenant users, isolation, billing, quotas, 2FA and self-service signup are not implemented.</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61B22"/>
                <w:sz w:val="18"/>
              </w:rPr>
              <w:t>Can it be commercial?</w:t>
            </w:r>
          </w:p>
        </w:tc>
        <w:tc>
          <w:tcPr>
            <w:tcW w:type="dxa" w:w="6984"/>
            <w:vAlign w:val="center"/>
            <w:tcMar>
              <w:top w:w="80" w:type="dxa"/>
              <w:start w:w="120" w:type="dxa"/>
              <w:bottom w:w="80" w:type="dxa"/>
              <w:end w:w="120" w:type="dxa"/>
            </w:tcMar>
          </w:tcPr>
          <w:p>
            <w:pPr>
              <w:spacing w:before="0" w:after="40" w:line="252" w:lineRule="auto"/>
            </w:pPr>
            <w:r>
              <w:rPr>
                <w:rFonts w:ascii="Calibri" w:hAnsi="Calibri"/>
                <w:b w:val="0"/>
                <w:color w:val="161B22"/>
                <w:sz w:val="18"/>
              </w:rPr>
              <w:t>Technically yes, but a commercial multi-customer service needs a separate control plane and strong isolation. For regulated, high-volume or mission-critical messaging, use Meta’s official WhatsApp Business Platform.</w:t>
            </w:r>
          </w:p>
        </w:tc>
      </w:tr>
    </w:tbl>
    <w:p>
      <w:pPr>
        <w:spacing w:after="0"/>
      </w:pPr>
    </w:p>
    <w:p>
      <w:pPr>
        <w:pStyle w:val="Heading2"/>
        <w:keepNext/>
        <w:pageBreakBefore w:val="0"/>
      </w:pPr>
      <w:r>
        <w:t>Workload fit</w:t>
      </w:r>
    </w:p>
    <w:tbl>
      <w:tblPr>
        <w:tblStyle w:val="TableGrid"/>
        <w:tblW w:type="dxa" w:w="9360"/>
        <w:jc w:val="left"/>
        <w:tblLayout w:type="fixed"/>
        <w:tblLook w:firstColumn="1" w:firstRow="1" w:lastColumn="0" w:lastRow="0" w:noHBand="0" w:noVBand="1" w:val="04A0"/>
        <w:tblLayout w:type="fixed"/>
        <w:tblInd w:w="120" w:type="dxa"/>
      </w:tblPr>
      <w:tblGrid>
        <w:gridCol w:w="4680"/>
        <w:gridCol w:w="4680"/>
      </w:tblGrid>
      <w:tr>
        <w:trPr>
          <w:cantSplit/>
          <w:tblHeader w:val="true"/>
        </w:trPr>
        <w:tc>
          <w:tcPr>
            <w:tcW w:type="dxa" w:w="4680"/>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Best fit</w:t>
            </w:r>
          </w:p>
        </w:tc>
        <w:tc>
          <w:tcPr>
            <w:tcW w:type="dxa" w:w="4680"/>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Poor fit</w:t>
            </w:r>
          </w:p>
        </w:tc>
      </w:tr>
      <w:tr>
        <w:trPr>
          <w:cantSplit/>
        </w:trPr>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61B22"/>
                <w:sz w:val="17"/>
              </w:rPr>
              <w:t>Personal automation, internal tools, prototypes and learning.</w:t>
            </w:r>
          </w:p>
        </w:tc>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61B22"/>
                <w:sz w:val="17"/>
              </w:rPr>
              <w:t>Cold marketing blasts, purchased lists or attempts to bypass enforcement.</w:t>
            </w:r>
          </w:p>
        </w:tc>
      </w:tr>
      <w:tr>
        <w:trPr>
          <w:cantSplit/>
        </w:trPr>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61B22"/>
                <w:sz w:val="17"/>
              </w:rPr>
              <w:t>Low-volume support and expected notifications on a dedicated number.</w:t>
            </w:r>
          </w:p>
        </w:tc>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61B22"/>
                <w:sz w:val="17"/>
              </w:rPr>
              <w:t>Regulated or mission-critical processing dependent on an unofficial client.</w:t>
            </w:r>
          </w:p>
        </w:tc>
      </w:tr>
      <w:tr>
        <w:trPr>
          <w:cantSplit/>
        </w:trPr>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61B22"/>
                <w:sz w:val="17"/>
              </w:rPr>
              <w:t>Workloads with SMS, email or official-API fallback.</w:t>
            </w:r>
          </w:p>
        </w:tc>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61B22"/>
                <w:sz w:val="17"/>
              </w:rPr>
              <w:t>Public multi-tenant SaaS without isolation, consent controls and incident response.</w:t>
            </w:r>
          </w:p>
        </w:tc>
      </w:tr>
    </w:tbl>
    <w:p>
      <w:pPr>
        <w:spacing w:after="0"/>
      </w:pPr>
    </w:p>
    <w:p>
      <w:pPr>
        <w:pageBreakBefore/>
        <w:spacing w:before="0" w:after="0" w:line="240" w:lineRule="auto"/>
      </w:pPr>
      <w:r>
        <w:rPr>
          <w:rFonts w:ascii="Calibri" w:hAnsi="Calibri"/>
          <w:color w:val="FFFFFF"/>
          <w:sz w:val="2"/>
        </w:rPr>
        <w:t>​</w:t>
      </w:r>
    </w:p>
    <w:p>
      <w:pPr>
        <w:pStyle w:val="Heading1"/>
        <w:keepNext/>
      </w:pPr>
      <w:r>
        <w:t>2. What OpenWA is—and is not</w:t>
      </w:r>
    </w:p>
    <w:p>
      <w:pPr>
        <w:spacing w:after="120" w:line="300" w:lineRule="auto"/>
      </w:pPr>
      <w:r>
        <w:rPr>
          <w:rFonts w:ascii="Calibri" w:hAnsi="Calibri"/>
          <w:color w:val="161B22"/>
          <w:sz w:val="22"/>
        </w:rPr>
        <w:t>OpenWA v0.23.2 is a self-hosted NestJS API gateway with a React dashboard. It connects through reverse-engineered clients—whatsapp-web.js or Baileys—rather than Meta’s Cloud API. You own the code, infrastructure, database, session credentials and operational risk.</w:t>
      </w:r>
    </w:p>
    <w:tbl>
      <w:tblPr>
        <w:tblStyle w:val="TableGrid"/>
        <w:tblW w:type="dxa" w:w="9360"/>
        <w:jc w:val="left"/>
        <w:tblLayout w:type="fixed"/>
        <w:tblLook w:firstColumn="1" w:firstRow="1" w:lastColumn="0" w:lastRow="0" w:noHBand="0" w:noVBand="1" w:val="04A0"/>
        <w:tblLayout w:type="fixed"/>
        <w:tblInd w:w="120" w:type="dxa"/>
      </w:tblPr>
      <w:tblGrid>
        <w:gridCol w:w="1872"/>
        <w:gridCol w:w="3816"/>
        <w:gridCol w:w="3672"/>
      </w:tblGrid>
      <w:tr>
        <w:trPr>
          <w:cantSplit/>
          <w:tblHeader w:val="true"/>
        </w:trPr>
        <w:tc>
          <w:tcPr>
            <w:tcW w:type="dxa" w:w="1872"/>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Area</w:t>
            </w:r>
          </w:p>
        </w:tc>
        <w:tc>
          <w:tcPr>
            <w:tcW w:type="dxa" w:w="3816"/>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OpenWA v0.23.2</w:t>
            </w:r>
          </w:p>
        </w:tc>
        <w:tc>
          <w:tcPr>
            <w:tcW w:type="dxa" w:w="3672"/>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Not included automatically</w:t>
            </w:r>
          </w:p>
        </w:tc>
      </w:tr>
      <w:tr>
        <w:trPr>
          <w:cantSplit/>
        </w:trPr>
        <w:tc>
          <w:tcPr>
            <w:tcW w:type="dxa" w:w="1872"/>
            <w:vAlign w:val="center"/>
            <w:tcMar>
              <w:top w:w="80" w:type="dxa"/>
              <w:start w:w="120" w:type="dxa"/>
              <w:bottom w:w="80" w:type="dxa"/>
              <w:end w:w="120" w:type="dxa"/>
            </w:tcMar>
          </w:tcPr>
          <w:p>
            <w:pPr>
              <w:spacing w:before="0" w:after="40" w:line="252" w:lineRule="auto"/>
            </w:pPr>
            <w:r>
              <w:rPr>
                <w:rFonts w:ascii="Calibri" w:hAnsi="Calibri"/>
                <w:b w:val="0"/>
                <w:color w:val="161B22"/>
                <w:sz w:val="17"/>
              </w:rPr>
              <w:t>Access</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61B22"/>
                <w:sz w:val="17"/>
              </w:rPr>
              <w:t>REST API, Swagger, dashboard, WebSocket events, JavaScript/Python/Go SDK surfaces</w:t>
            </w:r>
          </w:p>
        </w:tc>
        <w:tc>
          <w:tcPr>
            <w:tcW w:type="dxa" w:w="3672"/>
            <w:vAlign w:val="center"/>
            <w:tcMar>
              <w:top w:w="80" w:type="dxa"/>
              <w:start w:w="120" w:type="dxa"/>
              <w:bottom w:w="80" w:type="dxa"/>
              <w:end w:w="120" w:type="dxa"/>
            </w:tcMar>
          </w:tcPr>
          <w:p>
            <w:pPr>
              <w:spacing w:before="0" w:after="40" w:line="252" w:lineRule="auto"/>
            </w:pPr>
            <w:r>
              <w:rPr>
                <w:rFonts w:ascii="Calibri" w:hAnsi="Calibri"/>
                <w:b w:val="0"/>
                <w:color w:val="161B22"/>
                <w:sz w:val="17"/>
              </w:rPr>
              <w:t>A Meta-issued access token or official WhatsApp Business Account</w:t>
            </w:r>
          </w:p>
        </w:tc>
      </w:tr>
      <w:tr>
        <w:trPr>
          <w:cantSplit/>
        </w:trPr>
        <w:tc>
          <w:tcPr>
            <w:tcW w:type="dxa" w:w="1872"/>
            <w:vAlign w:val="center"/>
            <w:tcMar>
              <w:top w:w="80" w:type="dxa"/>
              <w:start w:w="120" w:type="dxa"/>
              <w:bottom w:w="80" w:type="dxa"/>
              <w:end w:w="120" w:type="dxa"/>
            </w:tcMar>
          </w:tcPr>
          <w:p>
            <w:pPr>
              <w:spacing w:before="0" w:after="40" w:line="252" w:lineRule="auto"/>
            </w:pPr>
            <w:r>
              <w:rPr>
                <w:rFonts w:ascii="Calibri" w:hAnsi="Calibri"/>
                <w:b w:val="0"/>
                <w:color w:val="161B22"/>
                <w:sz w:val="17"/>
              </w:rPr>
              <w:t>Accounts</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61B22"/>
                <w:sz w:val="17"/>
              </w:rPr>
              <w:t>Many WhatsApp sessions in one deployment</w:t>
            </w:r>
          </w:p>
        </w:tc>
        <w:tc>
          <w:tcPr>
            <w:tcW w:type="dxa" w:w="3672"/>
            <w:vAlign w:val="center"/>
            <w:tcMar>
              <w:top w:w="80" w:type="dxa"/>
              <w:start w:w="120" w:type="dxa"/>
              <w:bottom w:w="80" w:type="dxa"/>
              <w:end w:w="120" w:type="dxa"/>
            </w:tcMar>
          </w:tcPr>
          <w:p>
            <w:pPr>
              <w:spacing w:before="0" w:after="40" w:line="252" w:lineRule="auto"/>
            </w:pPr>
            <w:r>
              <w:rPr>
                <w:rFonts w:ascii="Calibri" w:hAnsi="Calibri"/>
                <w:b w:val="0"/>
                <w:color w:val="161B22"/>
                <w:sz w:val="17"/>
              </w:rPr>
              <w:t>True tenant organizations, named users, tenant billing and tenant-level data boundaries</w:t>
            </w:r>
          </w:p>
        </w:tc>
      </w:tr>
      <w:tr>
        <w:trPr>
          <w:cantSplit/>
        </w:trPr>
        <w:tc>
          <w:tcPr>
            <w:tcW w:type="dxa" w:w="1872"/>
            <w:vAlign w:val="center"/>
            <w:tcMar>
              <w:top w:w="80" w:type="dxa"/>
              <w:start w:w="120" w:type="dxa"/>
              <w:bottom w:w="80" w:type="dxa"/>
              <w:end w:w="120" w:type="dxa"/>
            </w:tcMar>
          </w:tcPr>
          <w:p>
            <w:pPr>
              <w:spacing w:before="0" w:after="40" w:line="252" w:lineRule="auto"/>
            </w:pPr>
            <w:r>
              <w:rPr>
                <w:rFonts w:ascii="Calibri" w:hAnsi="Calibri"/>
                <w:b w:val="0"/>
                <w:color w:val="161B22"/>
                <w:sz w:val="17"/>
              </w:rPr>
              <w:t>Messages</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61B22"/>
                <w:sz w:val="17"/>
              </w:rPr>
              <w:t>Text, media, reactions, edits, replies, status tracking and bulk batches</w:t>
            </w:r>
          </w:p>
        </w:tc>
        <w:tc>
          <w:tcPr>
            <w:tcW w:type="dxa" w:w="3672"/>
            <w:vAlign w:val="center"/>
            <w:tcMar>
              <w:top w:w="80" w:type="dxa"/>
              <w:start w:w="120" w:type="dxa"/>
              <w:bottom w:w="80" w:type="dxa"/>
              <w:end w:w="120" w:type="dxa"/>
            </w:tcMar>
          </w:tcPr>
          <w:p>
            <w:pPr>
              <w:spacing w:before="0" w:after="40" w:line="252" w:lineRule="auto"/>
            </w:pPr>
            <w:r>
              <w:rPr>
                <w:rFonts w:ascii="Calibri" w:hAnsi="Calibri"/>
                <w:b w:val="0"/>
                <w:color w:val="161B22"/>
                <w:sz w:val="17"/>
              </w:rPr>
              <w:t>Guaranteed delivery, official messaging tiers or a ban-safe throughput promise</w:t>
            </w:r>
          </w:p>
        </w:tc>
      </w:tr>
      <w:tr>
        <w:trPr>
          <w:cantSplit/>
        </w:trPr>
        <w:tc>
          <w:tcPr>
            <w:tcW w:type="dxa" w:w="1872"/>
            <w:vAlign w:val="center"/>
            <w:tcMar>
              <w:top w:w="80" w:type="dxa"/>
              <w:start w:w="120" w:type="dxa"/>
              <w:bottom w:w="80" w:type="dxa"/>
              <w:end w:w="120" w:type="dxa"/>
            </w:tcMar>
          </w:tcPr>
          <w:p>
            <w:pPr>
              <w:spacing w:before="0" w:after="40" w:line="252" w:lineRule="auto"/>
            </w:pPr>
            <w:r>
              <w:rPr>
                <w:rFonts w:ascii="Calibri" w:hAnsi="Calibri"/>
                <w:b w:val="0"/>
                <w:color w:val="161B22"/>
                <w:sz w:val="17"/>
              </w:rPr>
              <w:t>Automation</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61B22"/>
                <w:sz w:val="17"/>
              </w:rPr>
              <w:t>Webhooks, hooks, plugins, integration fabric, n8n/community integrations</w:t>
            </w:r>
          </w:p>
        </w:tc>
        <w:tc>
          <w:tcPr>
            <w:tcW w:type="dxa" w:w="3672"/>
            <w:vAlign w:val="center"/>
            <w:tcMar>
              <w:top w:w="80" w:type="dxa"/>
              <w:start w:w="120" w:type="dxa"/>
              <w:bottom w:w="80" w:type="dxa"/>
              <w:end w:w="120" w:type="dxa"/>
            </w:tcMar>
          </w:tcPr>
          <w:p>
            <w:pPr>
              <w:spacing w:before="0" w:after="40" w:line="252" w:lineRule="auto"/>
            </w:pPr>
            <w:r>
              <w:rPr>
                <w:rFonts w:ascii="Calibri" w:hAnsi="Calibri"/>
                <w:b w:val="0"/>
                <w:color w:val="161B22"/>
                <w:sz w:val="17"/>
              </w:rPr>
              <w:t>A no-code business workflow tailored to your company</w:t>
            </w:r>
          </w:p>
        </w:tc>
      </w:tr>
      <w:tr>
        <w:trPr>
          <w:cantSplit/>
        </w:trPr>
        <w:tc>
          <w:tcPr>
            <w:tcW w:type="dxa" w:w="1872"/>
            <w:vAlign w:val="center"/>
            <w:tcMar>
              <w:top w:w="80" w:type="dxa"/>
              <w:start w:w="120" w:type="dxa"/>
              <w:bottom w:w="80" w:type="dxa"/>
              <w:end w:w="120" w:type="dxa"/>
            </w:tcMar>
          </w:tcPr>
          <w:p>
            <w:pPr>
              <w:spacing w:before="0" w:after="40" w:line="252" w:lineRule="auto"/>
            </w:pPr>
            <w:r>
              <w:rPr>
                <w:rFonts w:ascii="Calibri" w:hAnsi="Calibri"/>
                <w:b w:val="0"/>
                <w:color w:val="161B22"/>
                <w:sz w:val="17"/>
              </w:rPr>
              <w:t>Operations</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61B22"/>
                <w:sz w:val="17"/>
              </w:rPr>
              <w:t>Docker, SQLite/PostgreSQL, Redis, MinIO/S3 backup, health probes, metrics</w:t>
            </w:r>
          </w:p>
        </w:tc>
        <w:tc>
          <w:tcPr>
            <w:tcW w:type="dxa" w:w="3672"/>
            <w:vAlign w:val="center"/>
            <w:tcMar>
              <w:top w:w="80" w:type="dxa"/>
              <w:start w:w="120" w:type="dxa"/>
              <w:bottom w:w="80" w:type="dxa"/>
              <w:end w:w="120" w:type="dxa"/>
            </w:tcMar>
          </w:tcPr>
          <w:p>
            <w:pPr>
              <w:spacing w:before="0" w:after="40" w:line="252" w:lineRule="auto"/>
            </w:pPr>
            <w:r>
              <w:rPr>
                <w:rFonts w:ascii="Calibri" w:hAnsi="Calibri"/>
                <w:b w:val="0"/>
                <w:color w:val="161B22"/>
                <w:sz w:val="17"/>
              </w:rPr>
              <w:t>Public TLS, domain name, cloud account, backups policy or 24/7 operations team</w:t>
            </w:r>
          </w:p>
        </w:tc>
      </w:tr>
    </w:tbl>
    <w:p>
      <w:pPr>
        <w:spacing w:after="0"/>
      </w:pP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E8EEF5"/>
            <w:tcMar>
              <w:top w:w="140" w:type="dxa"/>
              <w:start w:w="120" w:type="dxa"/>
              <w:bottom w:w="140" w:type="dxa"/>
              <w:end w:w="120" w:type="dxa"/>
            </w:tcMar>
          </w:tcPr>
          <w:p>
            <w:pPr>
              <w:spacing w:after="60"/>
            </w:pPr>
            <w:r>
              <w:rPr>
                <w:rFonts w:ascii="Calibri" w:hAnsi="Calibri"/>
                <w:b/>
                <w:color w:val="0B2545"/>
                <w:sz w:val="21"/>
              </w:rPr>
              <w:t>Version clarity</w:t>
            </w:r>
          </w:p>
          <w:p>
            <w:pPr>
              <w:spacing w:after="0" w:line="276" w:lineRule="auto"/>
            </w:pPr>
            <w:r>
              <w:rPr>
                <w:rFonts w:ascii="Calibri" w:hAnsi="Calibri"/>
                <w:color w:val="161B22"/>
                <w:sz w:val="20"/>
              </w:rPr>
              <w:t>This repository is the current OpenWA gateway v0.23.2. It is not @open-wa/wa-automate v4.76 and it is not that library’s v5 alpha. Treat them as different products/codebases.</w:t>
            </w:r>
          </w:p>
        </w:tc>
      </w:tr>
    </w:tbl>
    <w:p>
      <w:pPr>
        <w:spacing w:after="0"/>
      </w:pPr>
    </w:p>
    <w:p>
      <w:pPr>
        <w:spacing w:after="120" w:line="300" w:lineRule="auto"/>
      </w:pPr>
      <w:r>
        <w:rPr>
          <w:rFonts w:ascii="Calibri" w:hAnsi="Calibri"/>
          <w:color w:val="161B22"/>
          <w:sz w:val="22"/>
        </w:rPr>
        <w:t>Ownership is a strength: you can modify controllers, engines, dashboard pages, database adapters, plugins and deployment files. It also means you must maintain your fork, test upgrades and protect session data.</w:t>
      </w:r>
    </w:p>
    <w:p>
      <w:pPr>
        <w:pageBreakBefore/>
        <w:spacing w:before="0" w:after="0" w:line="240" w:lineRule="auto"/>
      </w:pPr>
      <w:r>
        <w:rPr>
          <w:rFonts w:ascii="Calibri" w:hAnsi="Calibri"/>
          <w:color w:val="FFFFFF"/>
          <w:sz w:val="2"/>
        </w:rPr>
        <w:t>​</w:t>
      </w:r>
    </w:p>
    <w:p>
      <w:pPr>
        <w:pStyle w:val="Heading1"/>
        <w:keepNext/>
      </w:pPr>
      <w:r>
        <w:t>3. Messaging capacity and safe pacing</w:t>
      </w:r>
    </w:p>
    <w:p>
      <w:pPr>
        <w:pStyle w:val="Heading2"/>
        <w:keepNext/>
        <w:pageBreakBefore w:val="0"/>
      </w:pPr>
      <w:r>
        <w:t>Technical behavior in this repository</w:t>
      </w:r>
    </w:p>
    <w:tbl>
      <w:tblPr>
        <w:tblStyle w:val="TableGrid"/>
        <w:tblW w:type="dxa" w:w="9360"/>
        <w:jc w:val="left"/>
        <w:tblLayout w:type="fixed"/>
        <w:tblLook w:firstColumn="1" w:firstRow="1" w:lastColumn="0" w:lastRow="0" w:noHBand="0" w:noVBand="1" w:val="04A0"/>
        <w:tblLayout w:type="fixed"/>
        <w:tblInd w:w="120" w:type="dxa"/>
      </w:tblPr>
      <w:tblGrid>
        <w:gridCol w:w="2160"/>
        <w:gridCol w:w="3168"/>
        <w:gridCol w:w="4032"/>
      </w:tblGrid>
      <w:tr>
        <w:trPr>
          <w:cantSplit/>
          <w:tblHeader w:val="true"/>
        </w:trPr>
        <w:tc>
          <w:tcPr>
            <w:tcW w:type="dxa" w:w="2160"/>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Control</w:t>
            </w:r>
          </w:p>
        </w:tc>
        <w:tc>
          <w:tcPr>
            <w:tcW w:type="dxa" w:w="3168"/>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Current behavior</w:t>
            </w:r>
          </w:p>
        </w:tc>
        <w:tc>
          <w:tcPr>
            <w:tcW w:type="dxa" w:w="4032"/>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Meaning</w:t>
            </w:r>
          </w:p>
        </w:tc>
      </w:tr>
      <w:tr>
        <w:trPr>
          <w:cantSplit/>
        </w:trPr>
        <w:tc>
          <w:tcPr>
            <w:tcW w:type="dxa" w:w="2160"/>
            <w:vAlign w:val="center"/>
            <w:tcMar>
              <w:top w:w="80" w:type="dxa"/>
              <w:start w:w="120" w:type="dxa"/>
              <w:bottom w:w="80" w:type="dxa"/>
              <w:end w:w="120" w:type="dxa"/>
            </w:tcMar>
          </w:tcPr>
          <w:p>
            <w:pPr>
              <w:spacing w:before="0" w:after="40" w:line="252" w:lineRule="auto"/>
            </w:pPr>
            <w:r>
              <w:rPr>
                <w:rFonts w:ascii="Calibri" w:hAnsi="Calibri"/>
                <w:b w:val="0"/>
                <w:color w:val="161B22"/>
                <w:sz w:val="17"/>
              </w:rPr>
              <w:t>Single sends</w:t>
            </w:r>
          </w:p>
        </w:tc>
        <w:tc>
          <w:tcPr>
            <w:tcW w:type="dxa" w:w="3168"/>
            <w:vAlign w:val="center"/>
            <w:tcMar>
              <w:top w:w="80" w:type="dxa"/>
              <w:start w:w="120" w:type="dxa"/>
              <w:bottom w:w="80" w:type="dxa"/>
              <w:end w:w="120" w:type="dxa"/>
            </w:tcMar>
          </w:tcPr>
          <w:p>
            <w:pPr>
              <w:spacing w:before="0" w:after="40" w:line="252" w:lineRule="auto"/>
            </w:pPr>
            <w:r>
              <w:rPr>
                <w:rFonts w:ascii="Calibri" w:hAnsi="Calibri"/>
                <w:b w:val="0"/>
                <w:color w:val="161B22"/>
                <w:sz w:val="17"/>
              </w:rPr>
              <w:t>Executed directly against the selected WhatsApp engine</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61B22"/>
                <w:sz w:val="17"/>
              </w:rPr>
              <w:t>No BullMQ message queue is used for the hot send path.</w:t>
            </w:r>
          </w:p>
        </w:tc>
      </w:tr>
      <w:tr>
        <w:trPr>
          <w:cantSplit/>
        </w:trPr>
        <w:tc>
          <w:tcPr>
            <w:tcW w:type="dxa" w:w="2160"/>
            <w:vAlign w:val="center"/>
            <w:tcMar>
              <w:top w:w="80" w:type="dxa"/>
              <w:start w:w="120" w:type="dxa"/>
              <w:bottom w:w="80" w:type="dxa"/>
              <w:end w:w="120" w:type="dxa"/>
            </w:tcMar>
          </w:tcPr>
          <w:p>
            <w:pPr>
              <w:spacing w:before="0" w:after="40" w:line="252" w:lineRule="auto"/>
            </w:pPr>
            <w:r>
              <w:rPr>
                <w:rFonts w:ascii="Calibri" w:hAnsi="Calibri"/>
                <w:b w:val="0"/>
                <w:color w:val="161B22"/>
                <w:sz w:val="17"/>
              </w:rPr>
              <w:t>Bulk request</w:t>
            </w:r>
          </w:p>
        </w:tc>
        <w:tc>
          <w:tcPr>
            <w:tcW w:type="dxa" w:w="3168"/>
            <w:vAlign w:val="center"/>
            <w:tcMar>
              <w:top w:w="80" w:type="dxa"/>
              <w:start w:w="120" w:type="dxa"/>
              <w:bottom w:w="80" w:type="dxa"/>
              <w:end w:w="120" w:type="dxa"/>
            </w:tcMar>
          </w:tcPr>
          <w:p>
            <w:pPr>
              <w:spacing w:before="0" w:after="40" w:line="252" w:lineRule="auto"/>
            </w:pPr>
            <w:r>
              <w:rPr>
                <w:rFonts w:ascii="Calibri" w:hAnsi="Calibri"/>
                <w:b w:val="0"/>
                <w:color w:val="161B22"/>
                <w:sz w:val="17"/>
              </w:rPr>
              <w:t>Up to 100 entries; exact duplicates collapse</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61B22"/>
                <w:sz w:val="17"/>
              </w:rPr>
              <w:t>Each accepted batch is processed asynchronously.</w:t>
            </w:r>
          </w:p>
        </w:tc>
      </w:tr>
      <w:tr>
        <w:trPr>
          <w:cantSplit/>
        </w:trPr>
        <w:tc>
          <w:tcPr>
            <w:tcW w:type="dxa" w:w="2160"/>
            <w:vAlign w:val="center"/>
            <w:tcMar>
              <w:top w:w="80" w:type="dxa"/>
              <w:start w:w="120" w:type="dxa"/>
              <w:bottom w:w="80" w:type="dxa"/>
              <w:end w:w="120" w:type="dxa"/>
            </w:tcMar>
          </w:tcPr>
          <w:p>
            <w:pPr>
              <w:spacing w:before="0" w:after="40" w:line="252" w:lineRule="auto"/>
            </w:pPr>
            <w:r>
              <w:rPr>
                <w:rFonts w:ascii="Calibri" w:hAnsi="Calibri"/>
                <w:b w:val="0"/>
                <w:color w:val="161B22"/>
                <w:sz w:val="17"/>
              </w:rPr>
              <w:t>Default bulk delay</w:t>
            </w:r>
          </w:p>
        </w:tc>
        <w:tc>
          <w:tcPr>
            <w:tcW w:type="dxa" w:w="3168"/>
            <w:vAlign w:val="center"/>
            <w:tcMar>
              <w:top w:w="80" w:type="dxa"/>
              <w:start w:w="120" w:type="dxa"/>
              <w:bottom w:w="80" w:type="dxa"/>
              <w:end w:w="120" w:type="dxa"/>
            </w:tcMar>
          </w:tcPr>
          <w:p>
            <w:pPr>
              <w:spacing w:before="0" w:after="40" w:line="252" w:lineRule="auto"/>
            </w:pPr>
            <w:r>
              <w:rPr>
                <w:rFonts w:ascii="Calibri" w:hAnsi="Calibri"/>
                <w:b w:val="0"/>
                <w:color w:val="161B22"/>
                <w:sz w:val="17"/>
              </w:rPr>
              <w:t>3,000 ms + random 0–2,000 ms</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61B22"/>
                <w:sz w:val="17"/>
              </w:rPr>
              <w:t>One batch produces about 12–20 messages/minute; average is about 15/minute.</w:t>
            </w:r>
          </w:p>
        </w:tc>
      </w:tr>
      <w:tr>
        <w:trPr>
          <w:cantSplit/>
        </w:trPr>
        <w:tc>
          <w:tcPr>
            <w:tcW w:type="dxa" w:w="2160"/>
            <w:vAlign w:val="center"/>
            <w:tcMar>
              <w:top w:w="80" w:type="dxa"/>
              <w:start w:w="120" w:type="dxa"/>
              <w:bottom w:w="80" w:type="dxa"/>
              <w:end w:w="120" w:type="dxa"/>
            </w:tcMar>
          </w:tcPr>
          <w:p>
            <w:pPr>
              <w:spacing w:before="0" w:after="40" w:line="252" w:lineRule="auto"/>
            </w:pPr>
            <w:r>
              <w:rPr>
                <w:rFonts w:ascii="Calibri" w:hAnsi="Calibri"/>
                <w:b w:val="0"/>
                <w:color w:val="161B22"/>
                <w:sz w:val="17"/>
              </w:rPr>
              <w:t>Minimum bulk delay</w:t>
            </w:r>
          </w:p>
        </w:tc>
        <w:tc>
          <w:tcPr>
            <w:tcW w:type="dxa" w:w="3168"/>
            <w:vAlign w:val="center"/>
            <w:tcMar>
              <w:top w:w="80" w:type="dxa"/>
              <w:start w:w="120" w:type="dxa"/>
              <w:bottom w:w="80" w:type="dxa"/>
              <w:end w:w="120" w:type="dxa"/>
            </w:tcMar>
          </w:tcPr>
          <w:p>
            <w:pPr>
              <w:spacing w:before="0" w:after="40" w:line="252" w:lineRule="auto"/>
            </w:pPr>
            <w:r>
              <w:rPr>
                <w:rFonts w:ascii="Calibri" w:hAnsi="Calibri"/>
                <w:b w:val="0"/>
                <w:color w:val="161B22"/>
                <w:sz w:val="17"/>
              </w:rPr>
              <w:t>1,000 ms</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61B22"/>
                <w:sz w:val="17"/>
              </w:rPr>
              <w:t>At most about 1 message/second per batch when randomization is disabled.</w:t>
            </w:r>
          </w:p>
        </w:tc>
      </w:tr>
      <w:tr>
        <w:trPr>
          <w:cantSplit/>
        </w:trPr>
        <w:tc>
          <w:tcPr>
            <w:tcW w:type="dxa" w:w="2160"/>
            <w:vAlign w:val="center"/>
            <w:tcMar>
              <w:top w:w="80" w:type="dxa"/>
              <w:start w:w="120" w:type="dxa"/>
              <w:bottom w:w="80" w:type="dxa"/>
              <w:end w:w="120" w:type="dxa"/>
            </w:tcMar>
          </w:tcPr>
          <w:p>
            <w:pPr>
              <w:spacing w:before="0" w:after="40" w:line="252" w:lineRule="auto"/>
            </w:pPr>
            <w:r>
              <w:rPr>
                <w:rFonts w:ascii="Calibri" w:hAnsi="Calibri"/>
                <w:b w:val="0"/>
                <w:color w:val="161B22"/>
                <w:sz w:val="17"/>
              </w:rPr>
              <w:t>Concurrent batches</w:t>
            </w:r>
          </w:p>
        </w:tc>
        <w:tc>
          <w:tcPr>
            <w:tcW w:type="dxa" w:w="3168"/>
            <w:vAlign w:val="center"/>
            <w:tcMar>
              <w:top w:w="80" w:type="dxa"/>
              <w:start w:w="120" w:type="dxa"/>
              <w:bottom w:w="80" w:type="dxa"/>
              <w:end w:w="120" w:type="dxa"/>
            </w:tcMar>
          </w:tcPr>
          <w:p>
            <w:pPr>
              <w:spacing w:before="0" w:after="40" w:line="252" w:lineRule="auto"/>
            </w:pPr>
            <w:r>
              <w:rPr>
                <w:rFonts w:ascii="Calibri" w:hAnsi="Calibri"/>
                <w:b w:val="0"/>
                <w:color w:val="161B22"/>
                <w:sz w:val="17"/>
              </w:rPr>
              <w:t>Default process cap: 50</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61B22"/>
                <w:sz w:val="17"/>
              </w:rPr>
              <w:t>This is a memory guard, not permission to run 50 high-rate campaigns.</w:t>
            </w:r>
          </w:p>
        </w:tc>
      </w:tr>
      <w:tr>
        <w:trPr>
          <w:cantSplit/>
        </w:trPr>
        <w:tc>
          <w:tcPr>
            <w:tcW w:type="dxa" w:w="2160"/>
            <w:vAlign w:val="center"/>
            <w:tcMar>
              <w:top w:w="80" w:type="dxa"/>
              <w:start w:w="120" w:type="dxa"/>
              <w:bottom w:w="80" w:type="dxa"/>
              <w:end w:w="120" w:type="dxa"/>
            </w:tcMar>
          </w:tcPr>
          <w:p>
            <w:pPr>
              <w:spacing w:before="0" w:after="40" w:line="252" w:lineRule="auto"/>
            </w:pPr>
            <w:r>
              <w:rPr>
                <w:rFonts w:ascii="Calibri" w:hAnsi="Calibri"/>
                <w:b w:val="0"/>
                <w:color w:val="161B22"/>
                <w:sz w:val="17"/>
              </w:rPr>
              <w:t>HTTP throttles</w:t>
            </w:r>
          </w:p>
        </w:tc>
        <w:tc>
          <w:tcPr>
            <w:tcW w:type="dxa" w:w="3168"/>
            <w:vAlign w:val="center"/>
            <w:tcMar>
              <w:top w:w="80" w:type="dxa"/>
              <w:start w:w="120" w:type="dxa"/>
              <w:bottom w:w="80" w:type="dxa"/>
              <w:end w:w="120" w:type="dxa"/>
            </w:tcMar>
          </w:tcPr>
          <w:p>
            <w:pPr>
              <w:spacing w:before="0" w:after="40" w:line="252" w:lineRule="auto"/>
            </w:pPr>
            <w:r>
              <w:rPr>
                <w:rFonts w:ascii="Calibri" w:hAnsi="Calibri"/>
                <w:b w:val="0"/>
                <w:color w:val="161B22"/>
                <w:sz w:val="17"/>
              </w:rPr>
              <w:t>Defaults include 10 requests/second burst, 100/minute, 1,000/hour</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61B22"/>
                <w:sz w:val="17"/>
              </w:rPr>
              <w:t>Limits API calls—not WhatsApp’s account enforcement.</w:t>
            </w:r>
          </w:p>
        </w:tc>
      </w:tr>
      <w:tr>
        <w:trPr>
          <w:cantSplit/>
        </w:trPr>
        <w:tc>
          <w:tcPr>
            <w:tcW w:type="dxa" w:w="2160"/>
            <w:vAlign w:val="center"/>
            <w:tcMar>
              <w:top w:w="80" w:type="dxa"/>
              <w:start w:w="120" w:type="dxa"/>
              <w:bottom w:w="80" w:type="dxa"/>
              <w:end w:w="120" w:type="dxa"/>
            </w:tcMar>
          </w:tcPr>
          <w:p>
            <w:pPr>
              <w:spacing w:before="0" w:after="40" w:line="252" w:lineRule="auto"/>
            </w:pPr>
            <w:r>
              <w:rPr>
                <w:rFonts w:ascii="Calibri" w:hAnsi="Calibri"/>
                <w:b w:val="0"/>
                <w:color w:val="161B22"/>
                <w:sz w:val="17"/>
              </w:rPr>
              <w:t>Send pacing</w:t>
            </w:r>
          </w:p>
        </w:tc>
        <w:tc>
          <w:tcPr>
            <w:tcW w:type="dxa" w:w="3168"/>
            <w:vAlign w:val="center"/>
            <w:tcMar>
              <w:top w:w="80" w:type="dxa"/>
              <w:start w:w="120" w:type="dxa"/>
              <w:bottom w:w="80" w:type="dxa"/>
              <w:end w:w="120" w:type="dxa"/>
            </w:tcMar>
          </w:tcPr>
          <w:p>
            <w:pPr>
              <w:spacing w:before="0" w:after="40" w:line="252" w:lineRule="auto"/>
            </w:pPr>
            <w:r>
              <w:rPr>
                <w:rFonts w:ascii="Calibri" w:hAnsi="Calibri"/>
                <w:b w:val="0"/>
                <w:color w:val="161B22"/>
                <w:sz w:val="17"/>
              </w:rPr>
              <w:t>Daily warm-up/cold-contact caps; OFF by default</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61B22"/>
                <w:sz w:val="17"/>
              </w:rPr>
              <w:t>Enable it explicitly to refuse risky sends with HTTP 429 SEND_PACING_LIMITED.</w:t>
            </w:r>
          </w:p>
        </w:tc>
      </w:tr>
    </w:tbl>
    <w:p>
      <w:pPr>
        <w:spacing w:after="0"/>
      </w:pPr>
    </w:p>
    <w:p>
      <w:pPr>
        <w:pStyle w:val="Heading2"/>
        <w:keepNext/>
        <w:pageBreakBefore w:val="0"/>
      </w:pPr>
      <w:r>
        <w:t>Recommended starting policy</w:t>
      </w:r>
    </w:p>
    <w:p>
      <w:pPr>
        <w:spacing w:after="80" w:line="300" w:lineRule="auto"/>
        <w:numPr>
          <w:ilvl w:val="0"/>
          <w:numId w:val="12"/>
        </w:numPr>
      </w:pPr>
      <w:r>
        <w:rPr>
          <w:rFonts w:ascii="Calibri" w:hAnsi="Calibri"/>
          <w:color w:val="161B22"/>
          <w:sz w:val="22"/>
        </w:rPr>
        <w:t>Enable SEND_PACING_ENABLED=true before real automation.</w:t>
      </w:r>
    </w:p>
    <w:p>
      <w:pPr>
        <w:spacing w:after="80" w:line="300" w:lineRule="auto"/>
        <w:numPr>
          <w:ilvl w:val="0"/>
          <w:numId w:val="12"/>
        </w:numPr>
      </w:pPr>
      <w:r>
        <w:rPr>
          <w:rFonts w:ascii="Calibri" w:hAnsi="Calibri"/>
          <w:color w:val="161B22"/>
          <w:sz w:val="22"/>
        </w:rPr>
        <w:t>Keep the supplied warm-up schedule (20→1000/day) and cold-contact schedule (5→100/day); prefer zero cold outreach.</w:t>
      </w:r>
    </w:p>
    <w:p>
      <w:pPr>
        <w:spacing w:after="80" w:line="300" w:lineRule="auto"/>
        <w:numPr>
          <w:ilvl w:val="0"/>
          <w:numId w:val="12"/>
        </w:numPr>
      </w:pPr>
      <w:r>
        <w:rPr>
          <w:rFonts w:ascii="Calibri" w:hAnsi="Calibri"/>
          <w:color w:val="161B22"/>
          <w:sz w:val="22"/>
        </w:rPr>
        <w:t>Use default bulk delay and randomization. For a new number, increase delay to 10–30 seconds and keep volumes well below the daily cap.</w:t>
      </w:r>
    </w:p>
    <w:p>
      <w:pPr>
        <w:spacing w:after="80" w:line="300" w:lineRule="auto"/>
        <w:numPr>
          <w:ilvl w:val="0"/>
          <w:numId w:val="12"/>
        </w:numPr>
      </w:pPr>
      <w:r>
        <w:rPr>
          <w:rFonts w:ascii="Calibri" w:hAnsi="Calibri"/>
          <w:color w:val="161B22"/>
          <w:sz w:val="22"/>
        </w:rPr>
        <w:t>Do not run parallel batches for the same session. Put a per-session queue in your SaaS control plane.</w:t>
      </w:r>
    </w:p>
    <w:p>
      <w:pPr>
        <w:spacing w:after="80" w:line="300" w:lineRule="auto"/>
        <w:numPr>
          <w:ilvl w:val="0"/>
          <w:numId w:val="12"/>
        </w:numPr>
      </w:pPr>
      <w:r>
        <w:rPr>
          <w:rFonts w:ascii="Calibri" w:hAnsi="Calibri"/>
          <w:color w:val="161B22"/>
          <w:sz w:val="22"/>
        </w:rPr>
        <w:t>Stop immediately when failure rates, blocks, reports, disconnections or restriction events rise.</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CE8E8"/>
            <w:tcMar>
              <w:top w:w="140" w:type="dxa"/>
              <w:start w:w="120" w:type="dxa"/>
              <w:bottom w:w="140" w:type="dxa"/>
              <w:end w:w="120" w:type="dxa"/>
            </w:tcMar>
          </w:tcPr>
          <w:p>
            <w:pPr>
              <w:spacing w:after="60"/>
            </w:pPr>
            <w:r>
              <w:rPr>
                <w:rFonts w:ascii="Calibri" w:hAnsi="Calibri"/>
                <w:b/>
                <w:color w:val="9B1C1C"/>
                <w:sz w:val="21"/>
              </w:rPr>
              <w:t>No safe MPS guarantee</w:t>
            </w:r>
          </w:p>
          <w:p>
            <w:pPr>
              <w:spacing w:after="0" w:line="276" w:lineRule="auto"/>
            </w:pPr>
            <w:r>
              <w:rPr>
                <w:rFonts w:ascii="Calibri" w:hAnsi="Calibri"/>
                <w:color w:val="161B22"/>
                <w:sz w:val="20"/>
              </w:rPr>
              <w:t>The repository recommends a few messages per minute—not thousands/hour. Opt-in, recipient history, complaints, engine and IP reputation determine risk. Policy still requires opt-in, honored opt-outs and data protection; local templates are not Meta-approved.</w:t>
            </w:r>
          </w:p>
        </w:tc>
      </w:tr>
    </w:tbl>
    <w:p>
      <w:pPr>
        <w:spacing w:after="0"/>
      </w:pPr>
    </w:p>
    <w:p>
      <w:pPr>
        <w:pageBreakBefore/>
        <w:spacing w:before="0" w:after="0" w:line="240" w:lineRule="auto"/>
      </w:pPr>
      <w:r>
        <w:rPr>
          <w:rFonts w:ascii="Calibri" w:hAnsi="Calibri"/>
          <w:color w:val="FFFFFF"/>
          <w:sz w:val="2"/>
        </w:rPr>
        <w:t>​</w:t>
      </w:r>
    </w:p>
    <w:p>
      <w:pPr>
        <w:pStyle w:val="Heading1"/>
        <w:keepNext/>
      </w:pPr>
      <w:r>
        <w:t>4. Capability map</w:t>
      </w:r>
    </w:p>
    <w:tbl>
      <w:tblPr>
        <w:tblStyle w:val="TableGrid"/>
        <w:tblW w:type="dxa" w:w="9360"/>
        <w:jc w:val="left"/>
        <w:tblLayout w:type="fixed"/>
        <w:tblLook w:firstColumn="1" w:firstRow="1" w:lastColumn="0" w:lastRow="0" w:noHBand="0" w:noVBand="1" w:val="04A0"/>
        <w:tblLayout w:type="fixed"/>
        <w:tblInd w:w="120" w:type="dxa"/>
      </w:tblPr>
      <w:tblGrid>
        <w:gridCol w:w="1944"/>
        <w:gridCol w:w="4320"/>
        <w:gridCol w:w="3096"/>
      </w:tblGrid>
      <w:tr>
        <w:trPr>
          <w:cantSplit/>
          <w:tblHeader w:val="true"/>
        </w:trPr>
        <w:tc>
          <w:tcPr>
            <w:tcW w:type="dxa" w:w="1944"/>
            <w:vAlign w:val="center"/>
            <w:tcMar>
              <w:top w:w="80" w:type="dxa"/>
              <w:start w:w="120" w:type="dxa"/>
              <w:bottom w:w="80" w:type="dxa"/>
              <w:end w:w="120" w:type="dxa"/>
            </w:tcMar>
            <w:shd w:fill="E8EEF5"/>
          </w:tcPr>
          <w:p>
            <w:pPr>
              <w:spacing w:before="0" w:after="40" w:line="252" w:lineRule="auto"/>
            </w:pPr>
            <w:r>
              <w:rPr>
                <w:rFonts w:ascii="Calibri" w:hAnsi="Calibri"/>
                <w:b/>
                <w:color w:val="0B2545"/>
                <w:sz w:val="16"/>
              </w:rPr>
              <w:t>Domain</w:t>
            </w:r>
          </w:p>
        </w:tc>
        <w:tc>
          <w:tcPr>
            <w:tcW w:type="dxa" w:w="4320"/>
            <w:vAlign w:val="center"/>
            <w:tcMar>
              <w:top w:w="80" w:type="dxa"/>
              <w:start w:w="120" w:type="dxa"/>
              <w:bottom w:w="80" w:type="dxa"/>
              <w:end w:w="120" w:type="dxa"/>
            </w:tcMar>
            <w:shd w:fill="E8EEF5"/>
          </w:tcPr>
          <w:p>
            <w:pPr>
              <w:spacing w:before="0" w:after="40" w:line="252" w:lineRule="auto"/>
            </w:pPr>
            <w:r>
              <w:rPr>
                <w:rFonts w:ascii="Calibri" w:hAnsi="Calibri"/>
                <w:b/>
                <w:color w:val="0B2545"/>
                <w:sz w:val="16"/>
              </w:rPr>
              <w:t>Available capabilities</w:t>
            </w:r>
          </w:p>
        </w:tc>
        <w:tc>
          <w:tcPr>
            <w:tcW w:type="dxa" w:w="3096"/>
            <w:vAlign w:val="center"/>
            <w:tcMar>
              <w:top w:w="80" w:type="dxa"/>
              <w:start w:w="120" w:type="dxa"/>
              <w:bottom w:w="80" w:type="dxa"/>
              <w:end w:w="120" w:type="dxa"/>
            </w:tcMar>
            <w:shd w:fill="E8EEF5"/>
          </w:tcPr>
          <w:p>
            <w:pPr>
              <w:spacing w:before="0" w:after="40" w:line="252" w:lineRule="auto"/>
            </w:pPr>
            <w:r>
              <w:rPr>
                <w:rFonts w:ascii="Calibri" w:hAnsi="Calibri"/>
                <w:b/>
                <w:color w:val="0B2545"/>
                <w:sz w:val="16"/>
              </w:rPr>
              <w:t>Important notes</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Sessions</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61B22"/>
                <w:sz w:val="16"/>
              </w:rPr>
              <w:t>Create, start, stop, restart, logout, delete, QR/pairing, reconnect and per-session proxy</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61B22"/>
                <w:sz w:val="16"/>
              </w:rPr>
              <w:t>Many sessions can run; resource cost depends heavily on engine.</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Messaging</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61B22"/>
                <w:sz w:val="16"/>
              </w:rPr>
              <w:t>Text, image, video, audio/voice note, document, sticker, contacts, location, reply, mentions, reactions, edit, revoke/delete, pin/star</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61B22"/>
                <w:sz w:val="16"/>
              </w:rPr>
              <w:t>Engine parity is high but not perfect; unsupported routes return explicit errors.</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Bulk &amp; templates</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61B22"/>
                <w:sz w:val="16"/>
              </w:rPr>
              <w:t>Bulk batches, progress/cancel, stored text templates with {{variables}}</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61B22"/>
                <w:sz w:val="16"/>
              </w:rPr>
              <w:t>Bulk supports text/image/video/audio/document; templates are local text rendering.</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Chats &amp; contacts</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61B22"/>
                <w:sz w:val="16"/>
              </w:rPr>
              <w:t>List/search chats and messages, read/unread, archive, mute, clear/delete, profile/status information</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61B22"/>
                <w:sz w:val="16"/>
              </w:rPr>
              <w:t>Some operations need local message history on Baileys.</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Groups</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61B22"/>
                <w:sz w:val="16"/>
              </w:rPr>
              <w:t>Create/manage groups, invite links, participants/admins, settings and join requests</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61B22"/>
                <w:sz w:val="16"/>
              </w:rPr>
              <w:t>Cold group additions consume the cold-reachout pacing budget when pacing is enabled.</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Status, calls, presence</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61B22"/>
                <w:sz w:val="16"/>
              </w:rPr>
              <w:t>Post/read/delete statuses, receive/reject calls, call events, presence updates</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61B22"/>
                <w:sz w:val="16"/>
              </w:rPr>
              <w:t>Status recipient behavior differs by engine.</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Channels &amp; catalog</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61B22"/>
                <w:sz w:val="16"/>
              </w:rPr>
              <w:t>Channel/newsletter operations, labels, catalog/product reads and selected sends</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61B22"/>
                <w:sz w:val="16"/>
              </w:rPr>
              <w:t>Some channel media or catalog operations are engine-specific.</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Automation</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61B22"/>
                <w:sz w:val="16"/>
              </w:rPr>
              <w:t>Webhooks, WebSocket feed, plugin hooks, integration fabric, automation rules, n8n/community integrations</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61B22"/>
                <w:sz w:val="16"/>
              </w:rPr>
              <w:t>Webhooks deliver outward; integration ingress receives provider webhooks inward.</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Admin &amp; observability</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61B22"/>
                <w:sz w:val="16"/>
              </w:rPr>
              <w:t>RBAC API keys, audit operations, metrics, logs, health/readiness, queue dashboard, backup/import/export</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61B22"/>
                <w:sz w:val="16"/>
              </w:rPr>
              <w:t>Message sends and webhook deliveries have dedicated records rather than ordinary audit-log rows.</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AI/tool access</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61B22"/>
                <w:sz w:val="16"/>
              </w:rPr>
              <w:t>Optional MCP server with 25 read-only tools or 51 tools when writes are enabled</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61B22"/>
                <w:sz w:val="16"/>
              </w:rPr>
              <w:t>Keep read-only by default and issue a least-privilege session-scoped key.</w:t>
            </w:r>
          </w:p>
        </w:tc>
      </w:tr>
    </w:tbl>
    <w:p>
      <w:pPr>
        <w:spacing w:after="0"/>
      </w:pP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E8EEF5"/>
            <w:tcMar>
              <w:top w:w="140" w:type="dxa"/>
              <w:start w:w="120" w:type="dxa"/>
              <w:bottom w:w="140" w:type="dxa"/>
              <w:end w:w="120" w:type="dxa"/>
            </w:tcMar>
          </w:tcPr>
          <w:p>
            <w:pPr>
              <w:spacing w:after="60"/>
            </w:pPr>
            <w:r>
              <w:rPr>
                <w:rFonts w:ascii="Calibri" w:hAnsi="Calibri"/>
                <w:b/>
                <w:color w:val="0B2545"/>
                <w:sz w:val="21"/>
              </w:rPr>
              <w:t>Engine capability snapshot</w:t>
            </w:r>
          </w:p>
          <w:p>
            <w:pPr>
              <w:spacing w:after="0" w:line="276" w:lineRule="auto"/>
            </w:pPr>
            <w:r>
              <w:rPr>
                <w:rFonts w:ascii="Calibri" w:hAnsi="Calibri"/>
                <w:color w:val="161B22"/>
                <w:sz w:val="20"/>
              </w:rPr>
              <w:t>The repository’s generated matrix reports 112 interface methods across two adapters: 199 supported adapter cells and 25 unavailable cells. At the REST level, 90 methods are engine-neutral, 12 are Baileys-only and 9 are whatsapp-web.js-only.</w:t>
            </w:r>
          </w:p>
        </w:tc>
      </w:tr>
    </w:tbl>
    <w:p>
      <w:pPr>
        <w:spacing w:after="0"/>
      </w:pPr>
    </w:p>
    <w:p>
      <w:pPr>
        <w:pageBreakBefore/>
        <w:spacing w:before="0" w:after="0" w:line="240" w:lineRule="auto"/>
      </w:pPr>
      <w:r>
        <w:rPr>
          <w:rFonts w:ascii="Calibri" w:hAnsi="Calibri"/>
          <w:color w:val="FFFFFF"/>
          <w:sz w:val="2"/>
        </w:rPr>
        <w:t>​</w:t>
      </w:r>
    </w:p>
    <w:p>
      <w:pPr>
        <w:pStyle w:val="Heading1"/>
        <w:keepNext/>
      </w:pPr>
      <w:r>
        <w:t>5. Choosing the WhatsApp engine</w:t>
      </w:r>
    </w:p>
    <w:tbl>
      <w:tblPr>
        <w:tblStyle w:val="TableGrid"/>
        <w:tblW w:type="dxa" w:w="9360"/>
        <w:jc w:val="left"/>
        <w:tblLayout w:type="fixed"/>
        <w:tblLook w:firstColumn="1" w:firstRow="1" w:lastColumn="0" w:lastRow="0" w:noHBand="0" w:noVBand="1" w:val="04A0"/>
        <w:tblLayout w:type="fixed"/>
        <w:tblInd w:w="120" w:type="dxa"/>
      </w:tblPr>
      <w:tblGrid>
        <w:gridCol w:w="1944"/>
        <w:gridCol w:w="3715"/>
        <w:gridCol w:w="3701"/>
      </w:tblGrid>
      <w:tr>
        <w:trPr>
          <w:cantSplit/>
          <w:tblHeader w:val="true"/>
        </w:trPr>
        <w:tc>
          <w:tcPr>
            <w:tcW w:type="dxa" w:w="1944"/>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Decision</w:t>
            </w:r>
          </w:p>
        </w:tc>
        <w:tc>
          <w:tcPr>
            <w:tcW w:type="dxa" w:w="3715"/>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whatsapp-web.js</w:t>
            </w:r>
          </w:p>
        </w:tc>
        <w:tc>
          <w:tcPr>
            <w:tcW w:type="dxa" w:w="3701"/>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Baileys</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Connection style</w:t>
            </w:r>
          </w:p>
        </w:tc>
        <w:tc>
          <w:tcPr>
            <w:tcW w:type="dxa" w:w="3715"/>
            <w:vAlign w:val="center"/>
            <w:tcMar>
              <w:top w:w="80" w:type="dxa"/>
              <w:start w:w="120" w:type="dxa"/>
              <w:bottom w:w="80" w:type="dxa"/>
              <w:end w:w="120" w:type="dxa"/>
            </w:tcMar>
          </w:tcPr>
          <w:p>
            <w:pPr>
              <w:spacing w:before="0" w:after="40" w:line="252" w:lineRule="auto"/>
            </w:pPr>
            <w:r>
              <w:rPr>
                <w:rFonts w:ascii="Calibri" w:hAnsi="Calibri"/>
                <w:b w:val="0"/>
                <w:color w:val="161B22"/>
                <w:sz w:val="17"/>
              </w:rPr>
              <w:t>Controls real WhatsApp Web in headless Chromium</w:t>
            </w:r>
          </w:p>
        </w:tc>
        <w:tc>
          <w:tcPr>
            <w:tcW w:type="dxa" w:w="3701"/>
            <w:vAlign w:val="center"/>
            <w:tcMar>
              <w:top w:w="80" w:type="dxa"/>
              <w:start w:w="120" w:type="dxa"/>
              <w:bottom w:w="80" w:type="dxa"/>
              <w:end w:w="120" w:type="dxa"/>
            </w:tcMar>
          </w:tcPr>
          <w:p>
            <w:pPr>
              <w:spacing w:before="0" w:after="40" w:line="252" w:lineRule="auto"/>
            </w:pPr>
            <w:r>
              <w:rPr>
                <w:rFonts w:ascii="Calibri" w:hAnsi="Calibri"/>
                <w:b w:val="0"/>
                <w:color w:val="161B22"/>
                <w:sz w:val="17"/>
              </w:rPr>
              <w:t>Uses the multi-device WebSocket protocol directly</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Approx. memory/session</w:t>
            </w:r>
          </w:p>
        </w:tc>
        <w:tc>
          <w:tcPr>
            <w:tcW w:type="dxa" w:w="3715"/>
            <w:vAlign w:val="center"/>
            <w:tcMar>
              <w:top w:w="80" w:type="dxa"/>
              <w:start w:w="120" w:type="dxa"/>
              <w:bottom w:w="80" w:type="dxa"/>
              <w:end w:w="120" w:type="dxa"/>
            </w:tcMar>
          </w:tcPr>
          <w:p>
            <w:pPr>
              <w:spacing w:before="0" w:after="40" w:line="252" w:lineRule="auto"/>
            </w:pPr>
            <w:r>
              <w:rPr>
                <w:rFonts w:ascii="Calibri" w:hAnsi="Calibri"/>
                <w:b w:val="0"/>
                <w:color w:val="161B22"/>
                <w:sz w:val="17"/>
              </w:rPr>
              <w:t>High: repository guidance estimates ~300–500 MB</w:t>
            </w:r>
          </w:p>
        </w:tc>
        <w:tc>
          <w:tcPr>
            <w:tcW w:type="dxa" w:w="3701"/>
            <w:vAlign w:val="center"/>
            <w:tcMar>
              <w:top w:w="80" w:type="dxa"/>
              <w:start w:w="120" w:type="dxa"/>
              <w:bottom w:w="80" w:type="dxa"/>
              <w:end w:w="120" w:type="dxa"/>
            </w:tcMar>
          </w:tcPr>
          <w:p>
            <w:pPr>
              <w:spacing w:before="0" w:after="40" w:line="252" w:lineRule="auto"/>
            </w:pPr>
            <w:r>
              <w:rPr>
                <w:rFonts w:ascii="Calibri" w:hAnsi="Calibri"/>
                <w:b w:val="0"/>
                <w:color w:val="161B22"/>
                <w:sz w:val="17"/>
              </w:rPr>
              <w:t>Low: repository guidance estimates ~30–80 MB</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Risk profile</w:t>
            </w:r>
          </w:p>
        </w:tc>
        <w:tc>
          <w:tcPr>
            <w:tcW w:type="dxa" w:w="3715"/>
            <w:vAlign w:val="center"/>
            <w:tcMar>
              <w:top w:w="80" w:type="dxa"/>
              <w:start w:w="120" w:type="dxa"/>
              <w:bottom w:w="80" w:type="dxa"/>
              <w:end w:w="120" w:type="dxa"/>
            </w:tcMar>
          </w:tcPr>
          <w:p>
            <w:pPr>
              <w:spacing w:before="0" w:after="40" w:line="252" w:lineRule="auto"/>
            </w:pPr>
            <w:r>
              <w:rPr>
                <w:rFonts w:ascii="Calibri" w:hAnsi="Calibri"/>
                <w:b w:val="0"/>
                <w:color w:val="161B22"/>
                <w:sz w:val="17"/>
              </w:rPr>
              <w:t>Lower relative fingerprint risk, but never zero</w:t>
            </w:r>
          </w:p>
        </w:tc>
        <w:tc>
          <w:tcPr>
            <w:tcW w:type="dxa" w:w="3701"/>
            <w:vAlign w:val="center"/>
            <w:tcMar>
              <w:top w:w="80" w:type="dxa"/>
              <w:start w:w="120" w:type="dxa"/>
              <w:bottom w:w="80" w:type="dxa"/>
              <w:end w:w="120" w:type="dxa"/>
            </w:tcMar>
          </w:tcPr>
          <w:p>
            <w:pPr>
              <w:spacing w:before="0" w:after="40" w:line="252" w:lineRule="auto"/>
            </w:pPr>
            <w:r>
              <w:rPr>
                <w:rFonts w:ascii="Calibri" w:hAnsi="Calibri"/>
                <w:b w:val="0"/>
                <w:color w:val="161B22"/>
                <w:sz w:val="17"/>
              </w:rPr>
              <w:t>Higher relative fingerprint risk</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Session density</w:t>
            </w:r>
          </w:p>
        </w:tc>
        <w:tc>
          <w:tcPr>
            <w:tcW w:type="dxa" w:w="3715"/>
            <w:vAlign w:val="center"/>
            <w:tcMar>
              <w:top w:w="80" w:type="dxa"/>
              <w:start w:w="120" w:type="dxa"/>
              <w:bottom w:w="80" w:type="dxa"/>
              <w:end w:w="120" w:type="dxa"/>
            </w:tcMar>
          </w:tcPr>
          <w:p>
            <w:pPr>
              <w:spacing w:before="0" w:after="40" w:line="252" w:lineRule="auto"/>
            </w:pPr>
            <w:r>
              <w:rPr>
                <w:rFonts w:ascii="Calibri" w:hAnsi="Calibri"/>
                <w:b w:val="0"/>
                <w:color w:val="161B22"/>
                <w:sz w:val="17"/>
              </w:rPr>
              <w:t>Fewer sessions per server</w:t>
            </w:r>
          </w:p>
        </w:tc>
        <w:tc>
          <w:tcPr>
            <w:tcW w:type="dxa" w:w="3701"/>
            <w:vAlign w:val="center"/>
            <w:tcMar>
              <w:top w:w="80" w:type="dxa"/>
              <w:start w:w="120" w:type="dxa"/>
              <w:bottom w:w="80" w:type="dxa"/>
              <w:end w:w="120" w:type="dxa"/>
            </w:tcMar>
          </w:tcPr>
          <w:p>
            <w:pPr>
              <w:spacing w:before="0" w:after="40" w:line="252" w:lineRule="auto"/>
            </w:pPr>
            <w:r>
              <w:rPr>
                <w:rFonts w:ascii="Calibri" w:hAnsi="Calibri"/>
                <w:b w:val="0"/>
                <w:color w:val="161B22"/>
                <w:sz w:val="17"/>
              </w:rPr>
              <w:t>Many more sessions per server</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Best use</w:t>
            </w:r>
          </w:p>
        </w:tc>
        <w:tc>
          <w:tcPr>
            <w:tcW w:type="dxa" w:w="3715"/>
            <w:vAlign w:val="center"/>
            <w:tcMar>
              <w:top w:w="80" w:type="dxa"/>
              <w:start w:w="120" w:type="dxa"/>
              <w:bottom w:w="80" w:type="dxa"/>
              <w:end w:w="120" w:type="dxa"/>
            </w:tcMar>
          </w:tcPr>
          <w:p>
            <w:pPr>
              <w:spacing w:before="0" w:after="40" w:line="252" w:lineRule="auto"/>
            </w:pPr>
            <w:r>
              <w:rPr>
                <w:rFonts w:ascii="Calibri" w:hAnsi="Calibri"/>
                <w:b w:val="0"/>
                <w:color w:val="161B22"/>
                <w:sz w:val="17"/>
              </w:rPr>
              <w:t>Dedicated high-value numbers where RAM is available</w:t>
            </w:r>
          </w:p>
        </w:tc>
        <w:tc>
          <w:tcPr>
            <w:tcW w:type="dxa" w:w="3701"/>
            <w:vAlign w:val="center"/>
            <w:tcMar>
              <w:top w:w="80" w:type="dxa"/>
              <w:start w:w="120" w:type="dxa"/>
              <w:bottom w:w="80" w:type="dxa"/>
              <w:end w:w="120" w:type="dxa"/>
            </w:tcMar>
          </w:tcPr>
          <w:p>
            <w:pPr>
              <w:spacing w:before="0" w:after="40" w:line="252" w:lineRule="auto"/>
            </w:pPr>
            <w:r>
              <w:rPr>
                <w:rFonts w:ascii="Calibri" w:hAnsi="Calibri"/>
                <w:b w:val="0"/>
                <w:color w:val="161B22"/>
                <w:sz w:val="17"/>
              </w:rPr>
              <w:t>Lab, internal use, higher density where the risk is accepted</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Recommendation</w:t>
            </w:r>
          </w:p>
        </w:tc>
        <w:tc>
          <w:tcPr>
            <w:tcW w:type="dxa" w:w="3715"/>
            <w:vAlign w:val="center"/>
            <w:tcMar>
              <w:top w:w="80" w:type="dxa"/>
              <w:start w:w="120" w:type="dxa"/>
              <w:bottom w:w="80" w:type="dxa"/>
              <w:end w:w="120" w:type="dxa"/>
            </w:tcMar>
          </w:tcPr>
          <w:p>
            <w:pPr>
              <w:spacing w:before="0" w:after="40" w:line="252" w:lineRule="auto"/>
            </w:pPr>
            <w:r>
              <w:rPr>
                <w:rFonts w:ascii="Calibri" w:hAnsi="Calibri"/>
                <w:b w:val="0"/>
                <w:color w:val="161B22"/>
                <w:sz w:val="17"/>
              </w:rPr>
              <w:t>Default choice when account safety matters most</w:t>
            </w:r>
          </w:p>
        </w:tc>
        <w:tc>
          <w:tcPr>
            <w:tcW w:type="dxa" w:w="3701"/>
            <w:vAlign w:val="center"/>
            <w:tcMar>
              <w:top w:w="80" w:type="dxa"/>
              <w:start w:w="120" w:type="dxa"/>
              <w:bottom w:w="80" w:type="dxa"/>
              <w:end w:w="120" w:type="dxa"/>
            </w:tcMar>
          </w:tcPr>
          <w:p>
            <w:pPr>
              <w:spacing w:before="0" w:after="40" w:line="252" w:lineRule="auto"/>
            </w:pPr>
            <w:r>
              <w:rPr>
                <w:rFonts w:ascii="Calibri" w:hAnsi="Calibri"/>
                <w:b w:val="0"/>
                <w:color w:val="161B22"/>
                <w:sz w:val="17"/>
              </w:rPr>
              <w:t>Use only after testing each required capability</w:t>
            </w:r>
          </w:p>
        </w:tc>
      </w:tr>
    </w:tbl>
    <w:p>
      <w:pPr>
        <w:spacing w:after="0"/>
      </w:pPr>
    </w:p>
    <w:p>
      <w:pPr>
        <w:spacing w:after="120" w:line="300" w:lineRule="auto"/>
      </w:pPr>
      <w:r>
        <w:rPr>
          <w:rFonts w:ascii="Calibri" w:hAnsi="Calibri"/>
          <w:color w:val="161B22"/>
          <w:sz w:val="22"/>
        </w:rPr>
        <w:t>Do not switch engines for an existing production session without a planned relink, regression test and rollback path. Engine differences include channel media, status recipients, chat-history-dependent actions, and several profile or moderation result signals.</w:t>
      </w:r>
    </w:p>
    <w:p>
      <w:pPr>
        <w:pageBreakBefore/>
        <w:spacing w:before="0" w:after="0" w:line="240" w:lineRule="auto"/>
      </w:pPr>
      <w:r>
        <w:rPr>
          <w:rFonts w:ascii="Calibri" w:hAnsi="Calibri"/>
          <w:color w:val="FFFFFF"/>
          <w:sz w:val="2"/>
        </w:rPr>
        <w:t>​</w:t>
      </w:r>
    </w:p>
    <w:p>
      <w:pPr>
        <w:pStyle w:val="Heading1"/>
        <w:keepNext/>
      </w:pPr>
      <w:r>
        <w:t>6. Dashboard and API workflow</w:t>
      </w:r>
    </w:p>
    <w:p>
      <w:pPr>
        <w:pStyle w:val="Heading2"/>
        <w:keepNext/>
        <w:pageBreakBefore w:val="0"/>
      </w:pPr>
      <w:r>
        <w:t>Local development</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7F8FA"/>
            <w:tcMar>
              <w:top w:w="120" w:type="dxa"/>
              <w:start w:w="120" w:type="dxa"/>
              <w:bottom w:w="120" w:type="dxa"/>
              <w:end w:w="120" w:type="dxa"/>
            </w:tcMar>
          </w:tcPr>
          <w:p>
            <w:pPr>
              <w:spacing w:after="0" w:line="240" w:lineRule="auto"/>
            </w:pPr>
            <w:r>
              <w:rPr>
                <w:rFonts w:ascii="Consolas" w:hAnsi="Consolas"/>
                <w:color w:val="161B22"/>
                <w:sz w:val="17"/>
              </w:rPr>
              <w:t>npm ci</w:t>
            </w:r>
            <w:r>
              <w:br/>
            </w:r>
            <w:r>
              <w:rPr>
                <w:rFonts w:ascii="Consolas" w:hAnsi="Consolas"/>
                <w:color w:val="161B22"/>
                <w:sz w:val="17"/>
              </w:rPr>
              <w:t>npm run dev</w:t>
            </w:r>
            <w:r>
              <w:br/>
            </w:r>
            <w:r>
              <w:rPr>
                <w:rFonts w:ascii="Consolas" w:hAnsi="Consolas"/>
                <w:color w:val="161B22"/>
                <w:sz w:val="17"/>
              </w:rPr>
            </w:r>
            <w:r>
              <w:br/>
            </w:r>
            <w:r>
              <w:rPr>
                <w:rFonts w:ascii="Consolas" w:hAnsi="Consolas"/>
                <w:color w:val="161B22"/>
                <w:sz w:val="17"/>
              </w:rPr>
              <w:t>Dashboard: http://localhost:2886</w:t>
            </w:r>
            <w:r>
              <w:br/>
            </w:r>
            <w:r>
              <w:rPr>
                <w:rFonts w:ascii="Consolas" w:hAnsi="Consolas"/>
                <w:color w:val="161B22"/>
                <w:sz w:val="17"/>
              </w:rPr>
              <w:t>API:       http://localhost:2785/api</w:t>
            </w:r>
            <w:r>
              <w:br/>
            </w:r>
            <w:r>
              <w:rPr>
                <w:rFonts w:ascii="Consolas" w:hAnsi="Consolas"/>
                <w:color w:val="161B22"/>
                <w:sz w:val="17"/>
              </w:rPr>
              <w:t>Swagger:   http://localhost:2785/api/docs</w:t>
            </w:r>
          </w:p>
        </w:tc>
      </w:tr>
    </w:tbl>
    <w:p>
      <w:pPr>
        <w:spacing w:after="0"/>
      </w:pPr>
    </w:p>
    <w:p>
      <w:pPr>
        <w:spacing w:after="80" w:line="300" w:lineRule="auto"/>
        <w:numPr>
          <w:ilvl w:val="0"/>
          <w:numId w:val="13"/>
        </w:numPr>
      </w:pPr>
      <w:r>
        <w:rPr>
          <w:rFonts w:ascii="Calibri" w:hAnsi="Calibri"/>
          <w:color w:val="161B22"/>
          <w:sz w:val="22"/>
        </w:rPr>
        <w:t>Open the dashboard and enter the API key generated/configured for the local instance.</w:t>
      </w:r>
    </w:p>
    <w:p>
      <w:pPr>
        <w:spacing w:after="80" w:line="300" w:lineRule="auto"/>
        <w:numPr>
          <w:ilvl w:val="0"/>
          <w:numId w:val="13"/>
        </w:numPr>
      </w:pPr>
      <w:r>
        <w:rPr>
          <w:rFonts w:ascii="Calibri" w:hAnsi="Calibri"/>
          <w:color w:val="161B22"/>
          <w:sz w:val="22"/>
        </w:rPr>
        <w:t>Create a session and choose whatsapp-web.js unless you deliberately want Baileys.</w:t>
      </w:r>
    </w:p>
    <w:p>
      <w:pPr>
        <w:spacing w:after="80" w:line="300" w:lineRule="auto"/>
        <w:numPr>
          <w:ilvl w:val="0"/>
          <w:numId w:val="13"/>
        </w:numPr>
      </w:pPr>
      <w:r>
        <w:rPr>
          <w:rFonts w:ascii="Calibri" w:hAnsi="Calibri"/>
          <w:color w:val="161B22"/>
          <w:sz w:val="22"/>
        </w:rPr>
        <w:t>Start the session, scan the QR code from WhatsApp → Linked devices, and wait for READY.</w:t>
      </w:r>
    </w:p>
    <w:p>
      <w:pPr>
        <w:spacing w:after="80" w:line="300" w:lineRule="auto"/>
        <w:numPr>
          <w:ilvl w:val="0"/>
          <w:numId w:val="13"/>
        </w:numPr>
      </w:pPr>
      <w:r>
        <w:rPr>
          <w:rFonts w:ascii="Calibri" w:hAnsi="Calibri"/>
          <w:color w:val="161B22"/>
          <w:sz w:val="22"/>
        </w:rPr>
        <w:t>Send one message to your own opted-in test number.</w:t>
      </w:r>
    </w:p>
    <w:p>
      <w:pPr>
        <w:spacing w:after="80" w:line="300" w:lineRule="auto"/>
        <w:numPr>
          <w:ilvl w:val="0"/>
          <w:numId w:val="13"/>
        </w:numPr>
      </w:pPr>
      <w:r>
        <w:rPr>
          <w:rFonts w:ascii="Calibri" w:hAnsi="Calibri"/>
          <w:color w:val="161B22"/>
          <w:sz w:val="22"/>
        </w:rPr>
        <w:t>Create a webhook and run its test action before enabling automation.</w:t>
      </w:r>
    </w:p>
    <w:p>
      <w:pPr>
        <w:pStyle w:val="Heading2"/>
        <w:keepNext/>
        <w:pageBreakBefore w:val="0"/>
      </w:pPr>
      <w:r>
        <w:t>Core API request</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7F8FA"/>
            <w:tcMar>
              <w:top w:w="120" w:type="dxa"/>
              <w:start w:w="120" w:type="dxa"/>
              <w:bottom w:w="120" w:type="dxa"/>
              <w:end w:w="120" w:type="dxa"/>
            </w:tcMar>
          </w:tcPr>
          <w:p>
            <w:pPr>
              <w:spacing w:after="0" w:line="240" w:lineRule="auto"/>
            </w:pPr>
            <w:r>
              <w:rPr>
                <w:rFonts w:ascii="Consolas" w:hAnsi="Consolas"/>
                <w:color w:val="161B22"/>
                <w:sz w:val="17"/>
              </w:rPr>
              <w:t>curl.exe -X POST http://localhost:2785/api/sessions/SESSION_ID/messages/send-text `</w:t>
            </w:r>
            <w:r>
              <w:br/>
            </w:r>
            <w:r>
              <w:rPr>
                <w:rFonts w:ascii="Consolas" w:hAnsi="Consolas"/>
                <w:color w:val="161B22"/>
                <w:sz w:val="17"/>
              </w:rPr>
              <w:t xml:space="preserve">  -H "Content-Type: application/json" `</w:t>
            </w:r>
            <w:r>
              <w:br/>
            </w:r>
            <w:r>
              <w:rPr>
                <w:rFonts w:ascii="Consolas" w:hAnsi="Consolas"/>
                <w:color w:val="161B22"/>
                <w:sz w:val="17"/>
              </w:rPr>
              <w:t xml:space="preserve">  -H "X-API-Key: YOUR_API_KEY" `</w:t>
            </w:r>
            <w:r>
              <w:br/>
            </w:r>
            <w:r>
              <w:rPr>
                <w:rFonts w:ascii="Consolas" w:hAnsi="Consolas"/>
                <w:color w:val="161B22"/>
                <w:sz w:val="17"/>
              </w:rPr>
              <w:t xml:space="preserve">  -d '{"chatId":"254700000000@c.us","text":"Hello from OpenWA"}'</w:t>
            </w:r>
          </w:p>
        </w:tc>
      </w:tr>
    </w:tbl>
    <w:p>
      <w:pPr>
        <w:spacing w:after="0"/>
      </w:pP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CE8E8"/>
            <w:tcMar>
              <w:top w:w="140" w:type="dxa"/>
              <w:start w:w="120" w:type="dxa"/>
              <w:bottom w:w="140" w:type="dxa"/>
              <w:end w:w="120" w:type="dxa"/>
            </w:tcMar>
          </w:tcPr>
          <w:p>
            <w:pPr>
              <w:spacing w:after="60"/>
            </w:pPr>
            <w:r>
              <w:rPr>
                <w:rFonts w:ascii="Calibri" w:hAnsi="Calibri"/>
                <w:b/>
                <w:color w:val="9B1C1C"/>
                <w:sz w:val="21"/>
              </w:rPr>
              <w:t>API key safety</w:t>
            </w:r>
          </w:p>
          <w:p>
            <w:pPr>
              <w:spacing w:after="0" w:line="276" w:lineRule="auto"/>
            </w:pPr>
            <w:r>
              <w:rPr>
                <w:rFonts w:ascii="Calibri" w:hAnsi="Calibri"/>
                <w:color w:val="161B22"/>
                <w:sz w:val="20"/>
              </w:rPr>
              <w:t>The key is the dashboard login and API credential. Production keys should be long, rotated, role-limited, IP-limited where possible, and restricted to allowedSessions. Never put an ADMIN key in browser-side customer code.</w:t>
            </w:r>
          </w:p>
        </w:tc>
      </w:tr>
    </w:tbl>
    <w:p>
      <w:pPr>
        <w:spacing w:after="0"/>
      </w:pPr>
    </w:p>
    <w:p>
      <w:pPr>
        <w:pageBreakBefore/>
        <w:spacing w:before="0" w:after="0" w:line="240" w:lineRule="auto"/>
      </w:pPr>
      <w:r>
        <w:rPr>
          <w:rFonts w:ascii="Calibri" w:hAnsi="Calibri"/>
          <w:color w:val="FFFFFF"/>
          <w:sz w:val="2"/>
        </w:rPr>
        <w:t>​</w:t>
      </w:r>
    </w:p>
    <w:p>
      <w:pPr>
        <w:pStyle w:val="Heading1"/>
        <w:keepNext/>
      </w:pPr>
      <w:r>
        <w:t>7. Plugins explained</w:t>
      </w:r>
    </w:p>
    <w:p>
      <w:pPr>
        <w:spacing w:after="120" w:line="300" w:lineRule="auto"/>
      </w:pPr>
      <w:r>
        <w:rPr>
          <w:rFonts w:ascii="Calibri" w:hAnsi="Calibri"/>
          <w:color w:val="161B22"/>
          <w:sz w:val="22"/>
        </w:rPr>
        <w:t>A plugin is code loaded by the OpenWA server to extend behavior. It is not a Chrome extension and not a ChatGPT plugin. Official/community packages can connect OpenWA with products such as Chatwoot or Typebot, transform events, moderate outbound messages, auto-reply, add search providers, or receive provider webhooks through the integration fabric.</w:t>
      </w:r>
    </w:p>
    <w:tbl>
      <w:tblPr>
        <w:tblStyle w:val="TableGrid"/>
        <w:tblW w:type="dxa" w:w="9360"/>
        <w:jc w:val="left"/>
        <w:tblLayout w:type="fixed"/>
        <w:tblLook w:firstColumn="1" w:firstRow="1" w:lastColumn="0" w:lastRow="0" w:noHBand="0" w:noVBand="1" w:val="04A0"/>
        <w:tblLayout w:type="fixed"/>
        <w:tblInd w:w="120" w:type="dxa"/>
      </w:tblPr>
      <w:tblGrid>
        <w:gridCol w:w="1944"/>
        <w:gridCol w:w="3960"/>
        <w:gridCol w:w="3456"/>
      </w:tblGrid>
      <w:tr>
        <w:trPr>
          <w:cantSplit/>
          <w:tblHeader w:val="true"/>
        </w:trPr>
        <w:tc>
          <w:tcPr>
            <w:tcW w:type="dxa" w:w="1944"/>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Plugin concept</w:t>
            </w:r>
          </w:p>
        </w:tc>
        <w:tc>
          <w:tcPr>
            <w:tcW w:type="dxa" w:w="3960"/>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Meaning in OpenWA</w:t>
            </w:r>
          </w:p>
        </w:tc>
        <w:tc>
          <w:tcPr>
            <w:tcW w:type="dxa" w:w="3456"/>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Example</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Manifest</w:t>
            </w:r>
          </w:p>
        </w:tc>
        <w:tc>
          <w:tcPr>
            <w:tcW w:type="dxa" w:w="3960"/>
            <w:vAlign w:val="center"/>
            <w:tcMar>
              <w:top w:w="80" w:type="dxa"/>
              <w:start w:w="120" w:type="dxa"/>
              <w:bottom w:w="80" w:type="dxa"/>
              <w:end w:w="120" w:type="dxa"/>
            </w:tcMar>
          </w:tcPr>
          <w:p>
            <w:pPr>
              <w:spacing w:before="0" w:after="40" w:line="252" w:lineRule="auto"/>
            </w:pPr>
            <w:r>
              <w:rPr>
                <w:rFonts w:ascii="Calibri" w:hAnsi="Calibri"/>
                <w:b w:val="0"/>
                <w:color w:val="161B22"/>
                <w:sz w:val="17"/>
              </w:rPr>
              <w:t>Declares identity, entry file, permissions, hooks, network allowlist and optional ingress routes</w:t>
            </w:r>
          </w:p>
        </w:tc>
        <w:tc>
          <w:tcPr>
            <w:tcW w:type="dxa" w:w="3456"/>
            <w:vAlign w:val="center"/>
            <w:tcMar>
              <w:top w:w="80" w:type="dxa"/>
              <w:start w:w="120" w:type="dxa"/>
              <w:bottom w:w="80" w:type="dxa"/>
              <w:end w:w="120" w:type="dxa"/>
            </w:tcMar>
          </w:tcPr>
          <w:p>
            <w:pPr>
              <w:spacing w:before="0" w:after="40" w:line="252" w:lineRule="auto"/>
            </w:pPr>
            <w:r>
              <w:rPr>
                <w:rFonts w:ascii="Calibri" w:hAnsi="Calibri"/>
                <w:b w:val="0"/>
                <w:color w:val="161B22"/>
                <w:sz w:val="17"/>
              </w:rPr>
              <w:t>A Chatwoot adapter declares only the network hosts and webhook route it needs.</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Hook</w:t>
            </w:r>
          </w:p>
        </w:tc>
        <w:tc>
          <w:tcPr>
            <w:tcW w:type="dxa" w:w="3960"/>
            <w:vAlign w:val="center"/>
            <w:tcMar>
              <w:top w:w="80" w:type="dxa"/>
              <w:start w:w="120" w:type="dxa"/>
              <w:bottom w:w="80" w:type="dxa"/>
              <w:end w:w="120" w:type="dxa"/>
            </w:tcMar>
          </w:tcPr>
          <w:p>
            <w:pPr>
              <w:spacing w:before="0" w:after="40" w:line="252" w:lineRule="auto"/>
            </w:pPr>
            <w:r>
              <w:rPr>
                <w:rFonts w:ascii="Calibri" w:hAnsi="Calibri"/>
                <w:b w:val="0"/>
                <w:color w:val="161B22"/>
                <w:sz w:val="17"/>
              </w:rPr>
              <w:t>A lifecycle event delivered to plugin code</w:t>
            </w:r>
          </w:p>
        </w:tc>
        <w:tc>
          <w:tcPr>
            <w:tcW w:type="dxa" w:w="3456"/>
            <w:vAlign w:val="center"/>
            <w:tcMar>
              <w:top w:w="80" w:type="dxa"/>
              <w:start w:w="120" w:type="dxa"/>
              <w:bottom w:w="80" w:type="dxa"/>
              <w:end w:w="120" w:type="dxa"/>
            </w:tcMar>
          </w:tcPr>
          <w:p>
            <w:pPr>
              <w:spacing w:before="0" w:after="40" w:line="252" w:lineRule="auto"/>
            </w:pPr>
            <w:r>
              <w:rPr>
                <w:rFonts w:ascii="Calibri" w:hAnsi="Calibri"/>
                <w:b w:val="0"/>
                <w:color w:val="161B22"/>
                <w:sz w:val="17"/>
              </w:rPr>
              <w:t>message:received triggers routing; message:sending can modify or block an outbound send.</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Capability</w:t>
            </w:r>
          </w:p>
        </w:tc>
        <w:tc>
          <w:tcPr>
            <w:tcW w:type="dxa" w:w="3960"/>
            <w:vAlign w:val="center"/>
            <w:tcMar>
              <w:top w:w="80" w:type="dxa"/>
              <w:start w:w="120" w:type="dxa"/>
              <w:bottom w:w="80" w:type="dxa"/>
              <w:end w:w="120" w:type="dxa"/>
            </w:tcMar>
          </w:tcPr>
          <w:p>
            <w:pPr>
              <w:spacing w:before="0" w:after="40" w:line="252" w:lineRule="auto"/>
            </w:pPr>
            <w:r>
              <w:rPr>
                <w:rFonts w:ascii="Calibri" w:hAnsi="Calibri"/>
                <w:b w:val="0"/>
                <w:color w:val="161B22"/>
                <w:sz w:val="17"/>
              </w:rPr>
              <w:t>A host-provided operation gated by manifest permission and session scope</w:t>
            </w:r>
          </w:p>
        </w:tc>
        <w:tc>
          <w:tcPr>
            <w:tcW w:type="dxa" w:w="3456"/>
            <w:vAlign w:val="center"/>
            <w:tcMar>
              <w:top w:w="80" w:type="dxa"/>
              <w:start w:w="120" w:type="dxa"/>
              <w:bottom w:w="80" w:type="dxa"/>
              <w:end w:w="120" w:type="dxa"/>
            </w:tcMar>
          </w:tcPr>
          <w:p>
            <w:pPr>
              <w:spacing w:before="0" w:after="40" w:line="252" w:lineRule="auto"/>
            </w:pPr>
            <w:r>
              <w:rPr>
                <w:rFonts w:ascii="Calibri" w:hAnsi="Calibri"/>
                <w:b w:val="0"/>
                <w:color w:val="161B22"/>
                <w:sz w:val="17"/>
              </w:rPr>
              <w:t>Send a reply, read session state or write plugin storage.</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Per-session activation</w:t>
            </w:r>
          </w:p>
        </w:tc>
        <w:tc>
          <w:tcPr>
            <w:tcW w:type="dxa" w:w="3960"/>
            <w:vAlign w:val="center"/>
            <w:tcMar>
              <w:top w:w="80" w:type="dxa"/>
              <w:start w:w="120" w:type="dxa"/>
              <w:bottom w:w="80" w:type="dxa"/>
              <w:end w:w="120" w:type="dxa"/>
            </w:tcMar>
          </w:tcPr>
          <w:p>
            <w:pPr>
              <w:spacing w:before="0" w:after="40" w:line="252" w:lineRule="auto"/>
            </w:pPr>
            <w:r>
              <w:rPr>
                <w:rFonts w:ascii="Calibri" w:hAnsi="Calibri"/>
                <w:b w:val="0"/>
                <w:color w:val="161B22"/>
                <w:sz w:val="17"/>
              </w:rPr>
              <w:t>Plugin can be enabled/configured for selected WhatsApp sessions</w:t>
            </w:r>
          </w:p>
        </w:tc>
        <w:tc>
          <w:tcPr>
            <w:tcW w:type="dxa" w:w="3456"/>
            <w:vAlign w:val="center"/>
            <w:tcMar>
              <w:top w:w="80" w:type="dxa"/>
              <w:start w:w="120" w:type="dxa"/>
              <w:bottom w:w="80" w:type="dxa"/>
              <w:end w:w="120" w:type="dxa"/>
            </w:tcMar>
          </w:tcPr>
          <w:p>
            <w:pPr>
              <w:spacing w:before="0" w:after="40" w:line="252" w:lineRule="auto"/>
            </w:pPr>
            <w:r>
              <w:rPr>
                <w:rFonts w:ascii="Calibri" w:hAnsi="Calibri"/>
                <w:b w:val="0"/>
                <w:color w:val="161B22"/>
                <w:sz w:val="17"/>
              </w:rPr>
              <w:t>Customer A can use one integration while Customer B does not.</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Ingress</w:t>
            </w:r>
          </w:p>
        </w:tc>
        <w:tc>
          <w:tcPr>
            <w:tcW w:type="dxa" w:w="3960"/>
            <w:vAlign w:val="center"/>
            <w:tcMar>
              <w:top w:w="80" w:type="dxa"/>
              <w:start w:w="120" w:type="dxa"/>
              <w:bottom w:w="80" w:type="dxa"/>
              <w:end w:w="120" w:type="dxa"/>
            </w:tcMar>
          </w:tcPr>
          <w:p>
            <w:pPr>
              <w:spacing w:before="0" w:after="40" w:line="252" w:lineRule="auto"/>
            </w:pPr>
            <w:r>
              <w:rPr>
                <w:rFonts w:ascii="Calibri" w:hAnsi="Calibri"/>
                <w:b w:val="0"/>
                <w:color w:val="161B22"/>
                <w:sz w:val="17"/>
              </w:rPr>
              <w:t>An external service calls an OpenWA-owned URL that dispatches to the plugin</w:t>
            </w:r>
          </w:p>
        </w:tc>
        <w:tc>
          <w:tcPr>
            <w:tcW w:type="dxa" w:w="3456"/>
            <w:vAlign w:val="center"/>
            <w:tcMar>
              <w:top w:w="80" w:type="dxa"/>
              <w:start w:w="120" w:type="dxa"/>
              <w:bottom w:w="80" w:type="dxa"/>
              <w:end w:w="120" w:type="dxa"/>
            </w:tcMar>
          </w:tcPr>
          <w:p>
            <w:pPr>
              <w:spacing w:before="0" w:after="40" w:line="252" w:lineRule="auto"/>
            </w:pPr>
            <w:r>
              <w:rPr>
                <w:rFonts w:ascii="Calibri" w:hAnsi="Calibri"/>
                <w:b w:val="0"/>
                <w:color w:val="161B22"/>
                <w:sz w:val="17"/>
              </w:rPr>
              <w:t>Chatwoot sends an event into the adapter.</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Catalog/install</w:t>
            </w:r>
          </w:p>
        </w:tc>
        <w:tc>
          <w:tcPr>
            <w:tcW w:type="dxa" w:w="3960"/>
            <w:vAlign w:val="center"/>
            <w:tcMar>
              <w:top w:w="80" w:type="dxa"/>
              <w:start w:w="120" w:type="dxa"/>
              <w:bottom w:w="80" w:type="dxa"/>
              <w:end w:w="120" w:type="dxa"/>
            </w:tcMar>
          </w:tcPr>
          <w:p>
            <w:pPr>
              <w:spacing w:before="0" w:after="40" w:line="252" w:lineRule="auto"/>
            </w:pPr>
            <w:r>
              <w:rPr>
                <w:rFonts w:ascii="Calibri" w:hAnsi="Calibri"/>
                <w:b w:val="0"/>
                <w:color w:val="161B22"/>
                <w:sz w:val="17"/>
              </w:rPr>
              <w:t>Install a validated ZIP by upload, URL or configured catalog</w:t>
            </w:r>
          </w:p>
        </w:tc>
        <w:tc>
          <w:tcPr>
            <w:tcW w:type="dxa" w:w="3456"/>
            <w:vAlign w:val="center"/>
            <w:tcMar>
              <w:top w:w="80" w:type="dxa"/>
              <w:start w:w="120" w:type="dxa"/>
              <w:bottom w:w="80" w:type="dxa"/>
              <w:end w:w="120" w:type="dxa"/>
            </w:tcMar>
          </w:tcPr>
          <w:p>
            <w:pPr>
              <w:spacing w:before="0" w:after="40" w:line="252" w:lineRule="auto"/>
            </w:pPr>
            <w:r>
              <w:rPr>
                <w:rFonts w:ascii="Calibri" w:hAnsi="Calibri"/>
                <w:b w:val="0"/>
                <w:color w:val="161B22"/>
                <w:sz w:val="17"/>
              </w:rPr>
              <w:t>Production URL installs should carry a SHA-256 integrity pin.</w:t>
            </w:r>
          </w:p>
        </w:tc>
      </w:tr>
    </w:tbl>
    <w:p>
      <w:pPr>
        <w:spacing w:after="0"/>
      </w:pPr>
    </w:p>
    <w:p>
      <w:pPr>
        <w:pStyle w:val="Heading2"/>
        <w:keepNext/>
        <w:pageBreakBefore w:val="0"/>
      </w:pPr>
      <w:r>
        <w:t>Safe plugin workflow</w:t>
      </w:r>
    </w:p>
    <w:p>
      <w:pPr>
        <w:spacing w:after="80" w:line="300" w:lineRule="auto"/>
        <w:numPr>
          <w:ilvl w:val="0"/>
          <w:numId w:val="14"/>
        </w:numPr>
      </w:pPr>
      <w:r>
        <w:rPr>
          <w:rFonts w:ascii="Calibri" w:hAnsi="Calibri"/>
          <w:color w:val="161B22"/>
          <w:sz w:val="22"/>
        </w:rPr>
        <w:t>Review the source, manifest permissions, network allowlist, package hash and maintainer before installation.</w:t>
      </w:r>
    </w:p>
    <w:p>
      <w:pPr>
        <w:spacing w:after="80" w:line="300" w:lineRule="auto"/>
        <w:numPr>
          <w:ilvl w:val="0"/>
          <w:numId w:val="14"/>
        </w:numPr>
      </w:pPr>
      <w:r>
        <w:rPr>
          <w:rFonts w:ascii="Calibri" w:hAnsi="Calibri"/>
          <w:color w:val="161B22"/>
          <w:sz w:val="22"/>
        </w:rPr>
        <w:t>Install with an unscoped ADMIN key; then activate/configure only for the required sessions.</w:t>
      </w:r>
    </w:p>
    <w:p>
      <w:pPr>
        <w:spacing w:after="80" w:line="300" w:lineRule="auto"/>
        <w:numPr>
          <w:ilvl w:val="0"/>
          <w:numId w:val="14"/>
        </w:numPr>
      </w:pPr>
      <w:r>
        <w:rPr>
          <w:rFonts w:ascii="Calibri" w:hAnsi="Calibri"/>
          <w:color w:val="161B22"/>
          <w:sz w:val="22"/>
        </w:rPr>
        <w:t>Start with a test session and inspect logs, outbound calls and message behavior.</w:t>
      </w:r>
    </w:p>
    <w:p>
      <w:pPr>
        <w:spacing w:after="80" w:line="300" w:lineRule="auto"/>
        <w:numPr>
          <w:ilvl w:val="0"/>
          <w:numId w:val="14"/>
        </w:numPr>
      </w:pPr>
      <w:r>
        <w:rPr>
          <w:rFonts w:ascii="Calibri" w:hAnsi="Calibri"/>
          <w:color w:val="161B22"/>
          <w:sz w:val="22"/>
        </w:rPr>
        <w:t>Keep secrets in plugin configuration, not source control; rotate them after suspected exposure.</w:t>
      </w:r>
    </w:p>
    <w:p>
      <w:pPr>
        <w:spacing w:after="80" w:line="300" w:lineRule="auto"/>
        <w:numPr>
          <w:ilvl w:val="0"/>
          <w:numId w:val="14"/>
        </w:numPr>
      </w:pPr>
      <w:r>
        <w:rPr>
          <w:rFonts w:ascii="Calibri" w:hAnsi="Calibri"/>
          <w:color w:val="161B22"/>
          <w:sz w:val="22"/>
        </w:rPr>
        <w:t>Run genuinely untrusted plugins in a separate container/VM and connect over the OpenWA API.</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CE8E8"/>
            <w:tcMar>
              <w:top w:w="140" w:type="dxa"/>
              <w:start w:w="120" w:type="dxa"/>
              <w:bottom w:w="140" w:type="dxa"/>
              <w:end w:w="120" w:type="dxa"/>
            </w:tcMar>
          </w:tcPr>
          <w:p>
            <w:pPr>
              <w:spacing w:after="60"/>
            </w:pPr>
            <w:r>
              <w:rPr>
                <w:rFonts w:ascii="Calibri" w:hAnsi="Calibri"/>
                <w:b/>
                <w:color w:val="9B1C1C"/>
                <w:sz w:val="21"/>
              </w:rPr>
              <w:t>Security truth</w:t>
            </w:r>
          </w:p>
          <w:p>
            <w:pPr>
              <w:spacing w:after="0" w:line="276" w:lineRule="auto"/>
            </w:pPr>
            <w:r>
              <w:rPr>
                <w:rFonts w:ascii="Calibri" w:hAnsi="Calibri"/>
                <w:color w:val="161B22"/>
                <w:sz w:val="20"/>
              </w:rPr>
              <w:t>The worker-thread sandbox contains bugs and mediates declared capabilities, but it is not an OS security boundary. A malicious plugin shares the OpenWA process user’s filesystem and OS privileges. Install only code you trust.</w:t>
            </w:r>
          </w:p>
        </w:tc>
      </w:tr>
    </w:tbl>
    <w:p>
      <w:pPr>
        <w:spacing w:after="0"/>
      </w:pPr>
    </w:p>
    <w:p>
      <w:pPr>
        <w:pageBreakBefore/>
        <w:spacing w:before="0" w:after="0" w:line="240" w:lineRule="auto"/>
      </w:pPr>
      <w:r>
        <w:rPr>
          <w:rFonts w:ascii="Calibri" w:hAnsi="Calibri"/>
          <w:color w:val="FFFFFF"/>
          <w:sz w:val="2"/>
        </w:rPr>
        <w:t>​</w:t>
      </w:r>
    </w:p>
    <w:p>
      <w:pPr>
        <w:pStyle w:val="Heading1"/>
        <w:keepNext/>
      </w:pPr>
      <w:r>
        <w:t>8. Webhooks explained</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E8EEF5"/>
            <w:tcMar>
              <w:top w:w="140" w:type="dxa"/>
              <w:start w:w="120" w:type="dxa"/>
              <w:bottom w:w="140" w:type="dxa"/>
              <w:end w:w="120" w:type="dxa"/>
            </w:tcMar>
          </w:tcPr>
          <w:p>
            <w:pPr>
              <w:spacing w:after="60"/>
            </w:pPr>
            <w:r>
              <w:rPr>
                <w:rFonts w:ascii="Calibri" w:hAnsi="Calibri"/>
                <w:b/>
                <w:color w:val="0B2545"/>
                <w:sz w:val="21"/>
              </w:rPr>
              <w:t>Webhook in one sentence</w:t>
            </w:r>
          </w:p>
          <w:p>
            <w:pPr>
              <w:spacing w:after="0" w:line="276" w:lineRule="auto"/>
            </w:pPr>
            <w:r>
              <w:rPr>
                <w:rFonts w:ascii="Calibri" w:hAnsi="Calibri"/>
                <w:color w:val="161B22"/>
                <w:sz w:val="20"/>
              </w:rPr>
              <w:t>A webhook is an HTTPS callback: OpenWA sends a JSON POST when a subscribed event occurs; your server verifies the signature, deduplicates the delivery, returns 2xx quickly, and processes slow work asynchronously.</w:t>
            </w:r>
          </w:p>
        </w:tc>
      </w:tr>
    </w:tbl>
    <w:p>
      <w:pPr>
        <w:spacing w:after="0"/>
      </w:pPr>
    </w:p>
    <w:tbl>
      <w:tblPr>
        <w:tblStyle w:val="TableGrid"/>
        <w:tblW w:type="dxa" w:w="9360"/>
        <w:jc w:val="left"/>
        <w:tblLayout w:type="fixed"/>
        <w:tblLook w:firstColumn="1" w:firstRow="1" w:lastColumn="0" w:lastRow="0" w:noHBand="0" w:noVBand="1" w:val="04A0"/>
        <w:tblLayout w:type="fixed"/>
        <w:tblInd w:w="120" w:type="dxa"/>
      </w:tblPr>
      <w:tblGrid>
        <w:gridCol w:w="2088"/>
        <w:gridCol w:w="2880"/>
        <w:gridCol w:w="4392"/>
      </w:tblGrid>
      <w:tr>
        <w:trPr>
          <w:cantSplit/>
          <w:tblHeader w:val="true"/>
        </w:trPr>
        <w:tc>
          <w:tcPr>
            <w:tcW w:type="dxa" w:w="2088"/>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Direction</w:t>
            </w:r>
          </w:p>
        </w:tc>
        <w:tc>
          <w:tcPr>
            <w:tcW w:type="dxa" w:w="2880"/>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Mechanism</w:t>
            </w:r>
          </w:p>
        </w:tc>
        <w:tc>
          <w:tcPr>
            <w:tcW w:type="dxa" w:w="4392"/>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Use</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61B22"/>
                <w:sz w:val="17"/>
              </w:rPr>
              <w:t>OpenWA → your app</w:t>
            </w:r>
          </w:p>
        </w:tc>
        <w:tc>
          <w:tcPr>
            <w:tcW w:type="dxa" w:w="2880"/>
            <w:vAlign w:val="center"/>
            <w:tcMar>
              <w:top w:w="80" w:type="dxa"/>
              <w:start w:w="120" w:type="dxa"/>
              <w:bottom w:w="80" w:type="dxa"/>
              <w:end w:w="120" w:type="dxa"/>
            </w:tcMar>
          </w:tcPr>
          <w:p>
            <w:pPr>
              <w:spacing w:before="0" w:after="40" w:line="252" w:lineRule="auto"/>
            </w:pPr>
            <w:r>
              <w:rPr>
                <w:rFonts w:ascii="Calibri" w:hAnsi="Calibri"/>
                <w:b w:val="0"/>
                <w:color w:val="161B22"/>
                <w:sz w:val="17"/>
              </w:rPr>
              <w:t>Webhook subscription</w:t>
            </w:r>
          </w:p>
        </w:tc>
        <w:tc>
          <w:tcPr>
            <w:tcW w:type="dxa" w:w="4392"/>
            <w:vAlign w:val="center"/>
            <w:tcMar>
              <w:top w:w="80" w:type="dxa"/>
              <w:start w:w="120" w:type="dxa"/>
              <w:bottom w:w="80" w:type="dxa"/>
              <w:end w:w="120" w:type="dxa"/>
            </w:tcMar>
          </w:tcPr>
          <w:p>
            <w:pPr>
              <w:spacing w:before="0" w:after="40" w:line="252" w:lineRule="auto"/>
            </w:pPr>
            <w:r>
              <w:rPr>
                <w:rFonts w:ascii="Calibri" w:hAnsi="Calibri"/>
                <w:b w:val="0"/>
                <w:color w:val="161B22"/>
                <w:sz w:val="17"/>
              </w:rPr>
              <w:t>Message, session, presence, group, status and call events</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61B22"/>
                <w:sz w:val="17"/>
              </w:rPr>
              <w:t>Your app → OpenWA</w:t>
            </w:r>
          </w:p>
        </w:tc>
        <w:tc>
          <w:tcPr>
            <w:tcW w:type="dxa" w:w="2880"/>
            <w:vAlign w:val="center"/>
            <w:tcMar>
              <w:top w:w="80" w:type="dxa"/>
              <w:start w:w="120" w:type="dxa"/>
              <w:bottom w:w="80" w:type="dxa"/>
              <w:end w:w="120" w:type="dxa"/>
            </w:tcMar>
          </w:tcPr>
          <w:p>
            <w:pPr>
              <w:spacing w:before="0" w:after="40" w:line="252" w:lineRule="auto"/>
            </w:pPr>
            <w:r>
              <w:rPr>
                <w:rFonts w:ascii="Calibri" w:hAnsi="Calibri"/>
                <w:b w:val="0"/>
                <w:color w:val="161B22"/>
                <w:sz w:val="17"/>
              </w:rPr>
              <w:t>REST API</w:t>
            </w:r>
          </w:p>
        </w:tc>
        <w:tc>
          <w:tcPr>
            <w:tcW w:type="dxa" w:w="4392"/>
            <w:vAlign w:val="center"/>
            <w:tcMar>
              <w:top w:w="80" w:type="dxa"/>
              <w:start w:w="120" w:type="dxa"/>
              <w:bottom w:w="80" w:type="dxa"/>
              <w:end w:w="120" w:type="dxa"/>
            </w:tcMar>
          </w:tcPr>
          <w:p>
            <w:pPr>
              <w:spacing w:before="0" w:after="40" w:line="252" w:lineRule="auto"/>
            </w:pPr>
            <w:r>
              <w:rPr>
                <w:rFonts w:ascii="Calibri" w:hAnsi="Calibri"/>
                <w:b w:val="0"/>
                <w:color w:val="161B22"/>
                <w:sz w:val="17"/>
              </w:rPr>
              <w:t>Send messages and manage sessions/resources</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61B22"/>
                <w:sz w:val="17"/>
              </w:rPr>
              <w:t>Provider → OpenWA plugin</w:t>
            </w:r>
          </w:p>
        </w:tc>
        <w:tc>
          <w:tcPr>
            <w:tcW w:type="dxa" w:w="2880"/>
            <w:vAlign w:val="center"/>
            <w:tcMar>
              <w:top w:w="80" w:type="dxa"/>
              <w:start w:w="120" w:type="dxa"/>
              <w:bottom w:w="80" w:type="dxa"/>
              <w:end w:w="120" w:type="dxa"/>
            </w:tcMar>
          </w:tcPr>
          <w:p>
            <w:pPr>
              <w:spacing w:before="0" w:after="40" w:line="252" w:lineRule="auto"/>
            </w:pPr>
            <w:r>
              <w:rPr>
                <w:rFonts w:ascii="Calibri" w:hAnsi="Calibri"/>
                <w:b w:val="0"/>
                <w:color w:val="161B22"/>
                <w:sz w:val="17"/>
              </w:rPr>
              <w:t>Integration Fabric ingress</w:t>
            </w:r>
          </w:p>
        </w:tc>
        <w:tc>
          <w:tcPr>
            <w:tcW w:type="dxa" w:w="4392"/>
            <w:vAlign w:val="center"/>
            <w:tcMar>
              <w:top w:w="80" w:type="dxa"/>
              <w:start w:w="120" w:type="dxa"/>
              <w:bottom w:w="80" w:type="dxa"/>
              <w:end w:w="120" w:type="dxa"/>
            </w:tcMar>
          </w:tcPr>
          <w:p>
            <w:pPr>
              <w:spacing w:before="0" w:after="40" w:line="252" w:lineRule="auto"/>
            </w:pPr>
            <w:r>
              <w:rPr>
                <w:rFonts w:ascii="Calibri" w:hAnsi="Calibri"/>
                <w:b w:val="0"/>
                <w:color w:val="161B22"/>
                <w:sz w:val="17"/>
              </w:rPr>
              <w:t>Receive Chatwoot/Typebot/provider events through a declared plugin route</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61B22"/>
                <w:sz w:val="17"/>
              </w:rPr>
              <w:t>Dashboard/live client</w:t>
            </w:r>
          </w:p>
        </w:tc>
        <w:tc>
          <w:tcPr>
            <w:tcW w:type="dxa" w:w="2880"/>
            <w:vAlign w:val="center"/>
            <w:tcMar>
              <w:top w:w="80" w:type="dxa"/>
              <w:start w:w="120" w:type="dxa"/>
              <w:bottom w:w="80" w:type="dxa"/>
              <w:end w:w="120" w:type="dxa"/>
            </w:tcMar>
          </w:tcPr>
          <w:p>
            <w:pPr>
              <w:spacing w:before="0" w:after="40" w:line="252" w:lineRule="auto"/>
            </w:pPr>
            <w:r>
              <w:rPr>
                <w:rFonts w:ascii="Calibri" w:hAnsi="Calibri"/>
                <w:b w:val="0"/>
                <w:color w:val="161B22"/>
                <w:sz w:val="17"/>
              </w:rPr>
              <w:t>Socket.IO /events</w:t>
            </w:r>
          </w:p>
        </w:tc>
        <w:tc>
          <w:tcPr>
            <w:tcW w:type="dxa" w:w="4392"/>
            <w:vAlign w:val="center"/>
            <w:tcMar>
              <w:top w:w="80" w:type="dxa"/>
              <w:start w:w="120" w:type="dxa"/>
              <w:bottom w:w="80" w:type="dxa"/>
              <w:end w:w="120" w:type="dxa"/>
            </w:tcMar>
          </w:tcPr>
          <w:p>
            <w:pPr>
              <w:spacing w:before="0" w:after="40" w:line="252" w:lineRule="auto"/>
            </w:pPr>
            <w:r>
              <w:rPr>
                <w:rFonts w:ascii="Calibri" w:hAnsi="Calibri"/>
                <w:b w:val="0"/>
                <w:color w:val="161B22"/>
                <w:sz w:val="17"/>
              </w:rPr>
              <w:t>Real-time UI updates without polling</w:t>
            </w:r>
          </w:p>
        </w:tc>
      </w:tr>
    </w:tbl>
    <w:p>
      <w:pPr>
        <w:spacing w:after="0"/>
      </w:pPr>
    </w:p>
    <w:p>
      <w:pPr>
        <w:pStyle w:val="Heading2"/>
        <w:keepNext/>
        <w:pageBreakBefore w:val="0"/>
      </w:pPr>
      <w:r>
        <w:t>Available webhook events</w:t>
      </w:r>
    </w:p>
    <w:p>
      <w:pPr>
        <w:spacing w:after="120" w:line="300" w:lineRule="auto"/>
      </w:pPr>
      <w:r>
        <w:rPr>
          <w:rFonts w:ascii="Calibri" w:hAnsi="Calibri"/>
          <w:color w:val="161B22"/>
          <w:sz w:val="22"/>
        </w:rPr>
        <w:t>Messages: received, sent, acknowledgement, failed, revoked, reaction and edited. Sessions: status, QR, authenticated, disconnected, reconnect loop and restriction. Other families: status received, presence update, group join/leave/update/join request, and call received/accepted/rejected/missed.</w:t>
      </w:r>
    </w:p>
    <w:p>
      <w:pPr>
        <w:pStyle w:val="Heading2"/>
        <w:keepNext/>
        <w:pageBreakBefore w:val="0"/>
      </w:pPr>
      <w:r>
        <w:t>Create a signed webhook</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7F8FA"/>
            <w:tcMar>
              <w:top w:w="120" w:type="dxa"/>
              <w:start w:w="120" w:type="dxa"/>
              <w:bottom w:w="120" w:type="dxa"/>
              <w:end w:w="120" w:type="dxa"/>
            </w:tcMar>
          </w:tcPr>
          <w:p>
            <w:pPr>
              <w:spacing w:after="0" w:line="240" w:lineRule="auto"/>
            </w:pPr>
            <w:r>
              <w:rPr>
                <w:rFonts w:ascii="Consolas" w:hAnsi="Consolas"/>
                <w:color w:val="161B22"/>
                <w:sz w:val="17"/>
              </w:rPr>
              <w:t>curl.exe -X POST http://localhost:2785/api/sessions/SESSION_ID/webhooks `</w:t>
            </w:r>
            <w:r>
              <w:br/>
            </w:r>
            <w:r>
              <w:rPr>
                <w:rFonts w:ascii="Consolas" w:hAnsi="Consolas"/>
                <w:color w:val="161B22"/>
                <w:sz w:val="17"/>
              </w:rPr>
              <w:t xml:space="preserve">  -H "Content-Type: application/json" `</w:t>
            </w:r>
            <w:r>
              <w:br/>
            </w:r>
            <w:r>
              <w:rPr>
                <w:rFonts w:ascii="Consolas" w:hAnsi="Consolas"/>
                <w:color w:val="161B22"/>
                <w:sz w:val="17"/>
              </w:rPr>
              <w:t xml:space="preserve">  -H "X-API-Key: YOUR_API_KEY" `</w:t>
            </w:r>
            <w:r>
              <w:br/>
            </w:r>
            <w:r>
              <w:rPr>
                <w:rFonts w:ascii="Consolas" w:hAnsi="Consolas"/>
                <w:color w:val="161B22"/>
                <w:sz w:val="17"/>
              </w:rPr>
              <w:t xml:space="preserve">  -d '{"url":"https://app.example.com/hooks/openwa","events":["message.received","session.disconnected"],"secret":"REPLACE_WITH_32_RANDOM_CHARACTERS","retryCount":3}'</w:t>
            </w:r>
          </w:p>
        </w:tc>
      </w:tr>
    </w:tbl>
    <w:p>
      <w:pPr>
        <w:spacing w:after="0"/>
      </w:pPr>
    </w:p>
    <w:p>
      <w:pPr>
        <w:pStyle w:val="Heading2"/>
        <w:keepNext/>
        <w:pageBreakBefore/>
      </w:pPr>
      <w:r>
        <w:t>Receiver rules</w:t>
      </w:r>
    </w:p>
    <w:p>
      <w:pPr>
        <w:spacing w:after="80" w:line="300" w:lineRule="auto"/>
        <w:numPr>
          <w:ilvl w:val="0"/>
          <w:numId w:val="15"/>
        </w:numPr>
      </w:pPr>
      <w:r>
        <w:rPr>
          <w:rFonts w:ascii="Calibri" w:hAnsi="Calibri"/>
          <w:color w:val="161B22"/>
          <w:sz w:val="22"/>
        </w:rPr>
        <w:t>Verify X-OpenWA-Signature as HMAC-SHA256 over the exact raw request body; the value begins sha256=.</w:t>
      </w:r>
    </w:p>
    <w:p>
      <w:pPr>
        <w:spacing w:after="80" w:line="300" w:lineRule="auto"/>
        <w:numPr>
          <w:ilvl w:val="0"/>
          <w:numId w:val="15"/>
        </w:numPr>
      </w:pPr>
      <w:r>
        <w:rPr>
          <w:rFonts w:ascii="Calibri" w:hAnsi="Calibri"/>
          <w:color w:val="161B22"/>
          <w:sz w:val="22"/>
        </w:rPr>
        <w:t>Deduplicate with X-OpenWA-Idempotency-Key or X-OpenWA-Delivery-Id.</w:t>
      </w:r>
    </w:p>
    <w:p>
      <w:pPr>
        <w:spacing w:after="80" w:line="300" w:lineRule="auto"/>
        <w:numPr>
          <w:ilvl w:val="0"/>
          <w:numId w:val="15"/>
        </w:numPr>
      </w:pPr>
      <w:r>
        <w:rPr>
          <w:rFonts w:ascii="Calibri" w:hAnsi="Calibri"/>
          <w:color w:val="161B22"/>
          <w:sz w:val="22"/>
        </w:rPr>
        <w:t>Return 2xx quickly. Put database work, AI calls and customer actions on your own queue.</w:t>
      </w:r>
    </w:p>
    <w:p>
      <w:pPr>
        <w:spacing w:after="80" w:line="300" w:lineRule="auto"/>
        <w:numPr>
          <w:ilvl w:val="0"/>
          <w:numId w:val="15"/>
        </w:numPr>
      </w:pPr>
      <w:r>
        <w:rPr>
          <w:rFonts w:ascii="Calibri" w:hAnsi="Calibri"/>
          <w:color w:val="161B22"/>
          <w:sz w:val="22"/>
        </w:rPr>
        <w:t>Keep WEBHOOK_SSRF_PROTECT=true. Explicitly allow internal targets only when necessary.</w:t>
      </w:r>
    </w:p>
    <w:p>
      <w:pPr>
        <w:spacing w:after="80" w:line="300" w:lineRule="auto"/>
        <w:numPr>
          <w:ilvl w:val="0"/>
          <w:numId w:val="15"/>
        </w:numPr>
      </w:pPr>
      <w:r>
        <w:rPr>
          <w:rFonts w:ascii="Calibri" w:hAnsi="Calibri"/>
          <w:color w:val="161B22"/>
          <w:sz w:val="22"/>
        </w:rPr>
        <w:t>Monitor delivery failures and redrive only after the receiver is healthy and idempotent.</w:t>
      </w:r>
    </w:p>
    <w:tbl>
      <w:tblPr>
        <w:tblStyle w:val="TableGrid"/>
        <w:tblW w:type="dxa" w:w="9360"/>
        <w:jc w:val="left"/>
        <w:tblLayout w:type="fixed"/>
        <w:tblLook w:firstColumn="1" w:firstRow="1" w:lastColumn="0" w:lastRow="0" w:noHBand="0" w:noVBand="1" w:val="04A0"/>
        <w:tblLayout w:type="fixed"/>
        <w:tblInd w:w="120" w:type="dxa"/>
      </w:tblPr>
      <w:tblGrid>
        <w:gridCol w:w="2520"/>
        <w:gridCol w:w="6840"/>
      </w:tblGrid>
      <w:tr>
        <w:trPr>
          <w:cantSplit/>
          <w:tblHeader w:val="true"/>
        </w:trPr>
        <w:tc>
          <w:tcPr>
            <w:tcW w:type="dxa" w:w="252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Delivery control</w:t>
            </w:r>
          </w:p>
        </w:tc>
        <w:tc>
          <w:tcPr>
            <w:tcW w:type="dxa" w:w="684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Default/current behavior</w:t>
            </w:r>
          </w:p>
        </w:tc>
      </w:tr>
      <w:tr>
        <w:trPr>
          <w:cantSplit/>
        </w:trPr>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61B22"/>
                <w:sz w:val="18"/>
              </w:rPr>
              <w:t>Timeout</w:t>
            </w:r>
          </w:p>
        </w:tc>
        <w:tc>
          <w:tcPr>
            <w:tcW w:type="dxa" w:w="6840"/>
            <w:vAlign w:val="center"/>
            <w:tcMar>
              <w:top w:w="80" w:type="dxa"/>
              <w:start w:w="120" w:type="dxa"/>
              <w:bottom w:w="80" w:type="dxa"/>
              <w:end w:w="120" w:type="dxa"/>
            </w:tcMar>
          </w:tcPr>
          <w:p>
            <w:pPr>
              <w:spacing w:before="0" w:after="40" w:line="252" w:lineRule="auto"/>
            </w:pPr>
            <w:r>
              <w:rPr>
                <w:rFonts w:ascii="Calibri" w:hAnsi="Calibri"/>
                <w:b w:val="0"/>
                <w:color w:val="161B22"/>
                <w:sz w:val="18"/>
              </w:rPr>
              <w:t>10 seconds</w:t>
            </w:r>
          </w:p>
        </w:tc>
      </w:tr>
      <w:tr>
        <w:trPr>
          <w:cantSplit/>
        </w:trPr>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61B22"/>
                <w:sz w:val="18"/>
              </w:rPr>
              <w:t>Retry delay</w:t>
            </w:r>
          </w:p>
        </w:tc>
        <w:tc>
          <w:tcPr>
            <w:tcW w:type="dxa" w:w="6840"/>
            <w:vAlign w:val="center"/>
            <w:tcMar>
              <w:top w:w="80" w:type="dxa"/>
              <w:start w:w="120" w:type="dxa"/>
              <w:bottom w:w="80" w:type="dxa"/>
              <w:end w:w="120" w:type="dxa"/>
            </w:tcMar>
          </w:tcPr>
          <w:p>
            <w:pPr>
              <w:spacing w:before="0" w:after="40" w:line="252" w:lineRule="auto"/>
            </w:pPr>
            <w:r>
              <w:rPr>
                <w:rFonts w:ascii="Calibri" w:hAnsi="Calibri"/>
                <w:b w:val="0"/>
                <w:color w:val="161B22"/>
                <w:sz w:val="18"/>
              </w:rPr>
              <w:t>5 seconds</w:t>
            </w:r>
          </w:p>
        </w:tc>
      </w:tr>
      <w:tr>
        <w:trPr>
          <w:cantSplit/>
        </w:trPr>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61B22"/>
                <w:sz w:val="18"/>
              </w:rPr>
              <w:t>Retry attempts</w:t>
            </w:r>
          </w:p>
        </w:tc>
        <w:tc>
          <w:tcPr>
            <w:tcW w:type="dxa" w:w="6840"/>
            <w:vAlign w:val="center"/>
            <w:tcMar>
              <w:top w:w="80" w:type="dxa"/>
              <w:start w:w="120" w:type="dxa"/>
              <w:bottom w:w="80" w:type="dxa"/>
              <w:end w:w="120" w:type="dxa"/>
            </w:tcMar>
          </w:tcPr>
          <w:p>
            <w:pPr>
              <w:spacing w:before="0" w:after="40" w:line="252" w:lineRule="auto"/>
            </w:pPr>
            <w:r>
              <w:rPr>
                <w:rFonts w:ascii="Calibri" w:hAnsi="Calibri"/>
                <w:b w:val="0"/>
                <w:color w:val="161B22"/>
                <w:sz w:val="18"/>
              </w:rPr>
              <w:t>3 by default; configurable 0–5 per webhook</w:t>
            </w:r>
          </w:p>
        </w:tc>
      </w:tr>
      <w:tr>
        <w:trPr>
          <w:cantSplit/>
        </w:trPr>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61B22"/>
                <w:sz w:val="18"/>
              </w:rPr>
              <w:t>Endpoints/session</w:t>
            </w:r>
          </w:p>
        </w:tc>
        <w:tc>
          <w:tcPr>
            <w:tcW w:type="dxa" w:w="6840"/>
            <w:vAlign w:val="center"/>
            <w:tcMar>
              <w:top w:w="80" w:type="dxa"/>
              <w:start w:w="120" w:type="dxa"/>
              <w:bottom w:w="80" w:type="dxa"/>
              <w:end w:w="120" w:type="dxa"/>
            </w:tcMar>
          </w:tcPr>
          <w:p>
            <w:pPr>
              <w:spacing w:before="0" w:after="40" w:line="252" w:lineRule="auto"/>
            </w:pPr>
            <w:r>
              <w:rPr>
                <w:rFonts w:ascii="Calibri" w:hAnsi="Calibri"/>
                <w:b w:val="0"/>
                <w:color w:val="161B22"/>
                <w:sz w:val="18"/>
              </w:rPr>
              <w:t>Default maximum 16</w:t>
            </w:r>
          </w:p>
        </w:tc>
      </w:tr>
      <w:tr>
        <w:trPr>
          <w:cantSplit/>
        </w:trPr>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61B22"/>
                <w:sz w:val="18"/>
              </w:rPr>
              <w:t>Reliability</w:t>
            </w:r>
          </w:p>
        </w:tc>
        <w:tc>
          <w:tcPr>
            <w:tcW w:type="dxa" w:w="6840"/>
            <w:vAlign w:val="center"/>
            <w:tcMar>
              <w:top w:w="80" w:type="dxa"/>
              <w:start w:w="120" w:type="dxa"/>
              <w:bottom w:w="80" w:type="dxa"/>
              <w:end w:w="120" w:type="dxa"/>
            </w:tcMar>
          </w:tcPr>
          <w:p>
            <w:pPr>
              <w:spacing w:before="0" w:after="40" w:line="252" w:lineRule="auto"/>
            </w:pPr>
            <w:r>
              <w:rPr>
                <w:rFonts w:ascii="Calibri" w:hAnsi="Calibri"/>
                <w:b w:val="0"/>
                <w:color w:val="161B22"/>
                <w:sz w:val="18"/>
              </w:rPr>
              <w:t>Queue/outbox, recovery and dead-letter records are available; Redis queue is optional</w:t>
            </w:r>
          </w:p>
        </w:tc>
      </w:tr>
      <w:tr>
        <w:trPr>
          <w:cantSplit/>
        </w:trPr>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61B22"/>
                <w:sz w:val="18"/>
              </w:rPr>
              <w:t>Filtering</w:t>
            </w:r>
          </w:p>
        </w:tc>
        <w:tc>
          <w:tcPr>
            <w:tcW w:type="dxa" w:w="6840"/>
            <w:vAlign w:val="center"/>
            <w:tcMar>
              <w:top w:w="80" w:type="dxa"/>
              <w:start w:w="120" w:type="dxa"/>
              <w:bottom w:w="80" w:type="dxa"/>
              <w:end w:w="120" w:type="dxa"/>
            </w:tcMar>
          </w:tcPr>
          <w:p>
            <w:pPr>
              <w:spacing w:before="0" w:after="40" w:line="252" w:lineRule="auto"/>
            </w:pPr>
            <w:r>
              <w:rPr>
                <w:rFonts w:ascii="Calibri" w:hAnsi="Calibri"/>
                <w:b w:val="0"/>
                <w:color w:val="161B22"/>
                <w:sz w:val="18"/>
              </w:rPr>
              <w:t>Optional AND conditions on sender, recipient, body, type, mentions, fromMe, hasMedia and isGroup</w:t>
            </w:r>
          </w:p>
        </w:tc>
      </w:tr>
    </w:tbl>
    <w:p>
      <w:pPr>
        <w:spacing w:after="0"/>
      </w:pPr>
    </w:p>
    <w:p>
      <w:pPr>
        <w:pageBreakBefore/>
        <w:spacing w:before="0" w:after="0" w:line="240" w:lineRule="auto"/>
      </w:pPr>
      <w:r>
        <w:rPr>
          <w:rFonts w:ascii="Calibri" w:hAnsi="Calibri"/>
          <w:color w:val="FFFFFF"/>
          <w:sz w:val="2"/>
        </w:rPr>
        <w:t>​</w:t>
      </w:r>
    </w:p>
    <w:p>
      <w:pPr>
        <w:pStyle w:val="Heading1"/>
        <w:keepNext/>
      </w:pPr>
      <w:r>
        <w:t>9. Deployment guide</w:t>
      </w:r>
    </w:p>
    <w:p>
      <w:pPr>
        <w:pStyle w:val="Heading2"/>
        <w:keepNext/>
        <w:pageBreakBefore w:val="0"/>
      </w:pPr>
      <w:r>
        <w:t>Choose one deployment level</w:t>
      </w:r>
    </w:p>
    <w:tbl>
      <w:tblPr>
        <w:tblStyle w:val="TableGrid"/>
        <w:tblW w:type="dxa" w:w="9360"/>
        <w:jc w:val="left"/>
        <w:tblLayout w:type="fixed"/>
        <w:tblLook w:firstColumn="1" w:firstRow="1" w:lastColumn="0" w:lastRow="0" w:noHBand="0" w:noVBand="1" w:val="04A0"/>
        <w:tblLayout w:type="fixed"/>
        <w:tblInd w:w="120" w:type="dxa"/>
      </w:tblPr>
      <w:tblGrid>
        <w:gridCol w:w="1944"/>
        <w:gridCol w:w="3816"/>
        <w:gridCol w:w="3600"/>
      </w:tblGrid>
      <w:tr>
        <w:trPr>
          <w:cantSplit/>
          <w:tblHeader w:val="true"/>
        </w:trPr>
        <w:tc>
          <w:tcPr>
            <w:tcW w:type="dxa" w:w="1944"/>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Level</w:t>
            </w:r>
          </w:p>
        </w:tc>
        <w:tc>
          <w:tcPr>
            <w:tcW w:type="dxa" w:w="3816"/>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Stack</w:t>
            </w:r>
          </w:p>
        </w:tc>
        <w:tc>
          <w:tcPr>
            <w:tcW w:type="dxa" w:w="3600"/>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Use</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Development</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61B22"/>
                <w:sz w:val="17"/>
              </w:rPr>
              <w:t>npm run dev; SQLite/local; dashboard on 2886</w:t>
            </w:r>
          </w:p>
        </w:tc>
        <w:tc>
          <w:tcPr>
            <w:tcW w:type="dxa" w:w="3600"/>
            <w:vAlign w:val="center"/>
            <w:tcMar>
              <w:top w:w="80" w:type="dxa"/>
              <w:start w:w="120" w:type="dxa"/>
              <w:bottom w:w="80" w:type="dxa"/>
              <w:end w:w="120" w:type="dxa"/>
            </w:tcMar>
          </w:tcPr>
          <w:p>
            <w:pPr>
              <w:spacing w:before="0" w:after="40" w:line="252" w:lineRule="auto"/>
            </w:pPr>
            <w:r>
              <w:rPr>
                <w:rFonts w:ascii="Calibri" w:hAnsi="Calibri"/>
                <w:b w:val="0"/>
                <w:color w:val="161B22"/>
                <w:sz w:val="17"/>
              </w:rPr>
              <w:t>Code changes, debugging and one test session</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Basic production</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61B22"/>
                <w:sz w:val="17"/>
              </w:rPr>
              <w:t>docker compose up -d; SQLite/local</w:t>
            </w:r>
          </w:p>
        </w:tc>
        <w:tc>
          <w:tcPr>
            <w:tcW w:type="dxa" w:w="3600"/>
            <w:vAlign w:val="center"/>
            <w:tcMar>
              <w:top w:w="80" w:type="dxa"/>
              <w:start w:w="120" w:type="dxa"/>
              <w:bottom w:w="80" w:type="dxa"/>
              <w:end w:w="120" w:type="dxa"/>
            </w:tcMar>
          </w:tcPr>
          <w:p>
            <w:pPr>
              <w:spacing w:before="0" w:after="40" w:line="252" w:lineRule="auto"/>
            </w:pPr>
            <w:r>
              <w:rPr>
                <w:rFonts w:ascii="Calibri" w:hAnsi="Calibri"/>
                <w:b w:val="0"/>
                <w:color w:val="161B22"/>
                <w:sz w:val="17"/>
              </w:rPr>
              <w:t>Single operator, low traffic, simple backup</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Production data</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61B22"/>
                <w:sz w:val="17"/>
              </w:rPr>
              <w:t>docker compose --profile postgres up -d</w:t>
            </w:r>
          </w:p>
        </w:tc>
        <w:tc>
          <w:tcPr>
            <w:tcW w:type="dxa" w:w="3600"/>
            <w:vAlign w:val="center"/>
            <w:tcMar>
              <w:top w:w="80" w:type="dxa"/>
              <w:start w:w="120" w:type="dxa"/>
              <w:bottom w:w="80" w:type="dxa"/>
              <w:end w:w="120" w:type="dxa"/>
            </w:tcMar>
          </w:tcPr>
          <w:p>
            <w:pPr>
              <w:spacing w:before="0" w:after="40" w:line="252" w:lineRule="auto"/>
            </w:pPr>
            <w:r>
              <w:rPr>
                <w:rFonts w:ascii="Calibri" w:hAnsi="Calibri"/>
                <w:b w:val="0"/>
                <w:color w:val="161B22"/>
                <w:sz w:val="17"/>
              </w:rPr>
              <w:t>Durable database and easier operations</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Full stack</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61B22"/>
                <w:sz w:val="17"/>
              </w:rPr>
              <w:t>docker compose --profile full up -d</w:t>
            </w:r>
          </w:p>
        </w:tc>
        <w:tc>
          <w:tcPr>
            <w:tcW w:type="dxa" w:w="3600"/>
            <w:vAlign w:val="center"/>
            <w:tcMar>
              <w:top w:w="80" w:type="dxa"/>
              <w:start w:w="120" w:type="dxa"/>
              <w:bottom w:w="80" w:type="dxa"/>
              <w:end w:w="120" w:type="dxa"/>
            </w:tcMar>
          </w:tcPr>
          <w:p>
            <w:pPr>
              <w:spacing w:before="0" w:after="40" w:line="252" w:lineRule="auto"/>
            </w:pPr>
            <w:r>
              <w:rPr>
                <w:rFonts w:ascii="Calibri" w:hAnsi="Calibri"/>
                <w:b w:val="0"/>
                <w:color w:val="161B22"/>
                <w:sz w:val="17"/>
              </w:rPr>
              <w:t>PostgreSQL + Redis + MinIO/S3-compatible storage</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7"/>
              </w:rPr>
              <w:t>Scale-out</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61B22"/>
                <w:sz w:val="17"/>
              </w:rPr>
              <w:t>Kubernetes/Helm + PostgreSQL + Redis + shared storage</w:t>
            </w:r>
          </w:p>
        </w:tc>
        <w:tc>
          <w:tcPr>
            <w:tcW w:type="dxa" w:w="3600"/>
            <w:vAlign w:val="center"/>
            <w:tcMar>
              <w:top w:w="80" w:type="dxa"/>
              <w:start w:w="120" w:type="dxa"/>
              <w:bottom w:w="80" w:type="dxa"/>
              <w:end w:w="120" w:type="dxa"/>
            </w:tcMar>
          </w:tcPr>
          <w:p>
            <w:pPr>
              <w:spacing w:before="0" w:after="40" w:line="252" w:lineRule="auto"/>
            </w:pPr>
            <w:r>
              <w:rPr>
                <w:rFonts w:ascii="Calibri" w:hAnsi="Calibri"/>
                <w:b w:val="0"/>
                <w:color w:val="161B22"/>
                <w:sz w:val="17"/>
              </w:rPr>
              <w:t>Multiple replicas; requires session ownership and careful load routing</w:t>
            </w:r>
          </w:p>
        </w:tc>
      </w:tr>
    </w:tbl>
    <w:p>
      <w:pPr>
        <w:spacing w:after="0"/>
      </w:pPr>
    </w:p>
    <w:p>
      <w:pPr>
        <w:pStyle w:val="Heading2"/>
        <w:keepNext/>
        <w:pageBreakBefore w:val="0"/>
      </w:pPr>
      <w:r>
        <w:t>Recommended production sequence</w:t>
      </w:r>
    </w:p>
    <w:p>
      <w:pPr>
        <w:spacing w:after="80" w:line="300" w:lineRule="auto"/>
        <w:numPr>
          <w:ilvl w:val="0"/>
          <w:numId w:val="16"/>
        </w:numPr>
      </w:pPr>
      <w:r>
        <w:rPr>
          <w:rFonts w:ascii="Calibri" w:hAnsi="Calibri"/>
          <w:color w:val="161B22"/>
          <w:sz w:val="22"/>
        </w:rPr>
        <w:t>Provision a Linux host; create production secrets outside source control and disable the development API key.</w:t>
      </w:r>
    </w:p>
    <w:p>
      <w:pPr>
        <w:spacing w:after="80" w:line="300" w:lineRule="auto"/>
        <w:numPr>
          <w:ilvl w:val="0"/>
          <w:numId w:val="16"/>
        </w:numPr>
      </w:pPr>
      <w:r>
        <w:rPr>
          <w:rFonts w:ascii="Calibri" w:hAnsi="Calibri"/>
          <w:color w:val="161B22"/>
          <w:sz w:val="22"/>
        </w:rPr>
        <w:t>Start PostgreSQL, then optional Redis/MinIO, then OpenWA.</w:t>
      </w:r>
    </w:p>
    <w:p>
      <w:pPr>
        <w:spacing w:after="80" w:line="300" w:lineRule="auto"/>
        <w:numPr>
          <w:ilvl w:val="0"/>
          <w:numId w:val="16"/>
        </w:numPr>
      </w:pPr>
      <w:r>
        <w:rPr>
          <w:rFonts w:ascii="Calibri" w:hAnsi="Calibri"/>
          <w:color w:val="161B22"/>
          <w:sz w:val="22"/>
        </w:rPr>
        <w:t>Place an HTTPS reverse proxy/load balancer in front; keep database, Redis, MinIO and Docker proxy private.</w:t>
      </w:r>
    </w:p>
    <w:p>
      <w:pPr>
        <w:spacing w:after="80" w:line="300" w:lineRule="auto"/>
        <w:numPr>
          <w:ilvl w:val="0"/>
          <w:numId w:val="16"/>
        </w:numPr>
      </w:pPr>
      <w:r>
        <w:rPr>
          <w:rFonts w:ascii="Calibri" w:hAnsi="Calibri"/>
          <w:color w:val="161B22"/>
          <w:sz w:val="22"/>
        </w:rPr>
        <w:t>Verify health probes, authentication, one session, one signed webhook and backup restore.</w:t>
      </w:r>
    </w:p>
    <w:p>
      <w:pPr>
        <w:spacing w:after="80" w:line="300" w:lineRule="auto"/>
        <w:numPr>
          <w:ilvl w:val="0"/>
          <w:numId w:val="16"/>
        </w:numPr>
      </w:pPr>
      <w:r>
        <w:rPr>
          <w:rFonts w:ascii="Calibri" w:hAnsi="Calibri"/>
          <w:color w:val="161B22"/>
          <w:sz w:val="22"/>
        </w:rPr>
        <w:t>Enable monitoring, automated backups and log retention before onboarding a real number.</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7F8FA"/>
            <w:tcMar>
              <w:top w:w="120" w:type="dxa"/>
              <w:start w:w="120" w:type="dxa"/>
              <w:bottom w:w="120" w:type="dxa"/>
              <w:end w:w="120" w:type="dxa"/>
            </w:tcMar>
          </w:tcPr>
          <w:p>
            <w:pPr>
              <w:spacing w:after="0" w:line="240" w:lineRule="auto"/>
            </w:pPr>
            <w:r>
              <w:rPr>
                <w:rFonts w:ascii="Consolas" w:hAnsi="Consolas"/>
                <w:color w:val="161B22"/>
                <w:sz w:val="17"/>
              </w:rPr>
              <w:t>docker compose up -d</w:t>
            </w:r>
            <w:r>
              <w:br/>
            </w:r>
            <w:r>
              <w:rPr>
                <w:rFonts w:ascii="Consolas" w:hAnsi="Consolas"/>
                <w:color w:val="161B22"/>
                <w:sz w:val="17"/>
              </w:rPr>
              <w:t>docker compose --profile postgres up -d</w:t>
            </w:r>
            <w:r>
              <w:br/>
            </w:r>
            <w:r>
              <w:rPr>
                <w:rFonts w:ascii="Consolas" w:hAnsi="Consolas"/>
                <w:color w:val="161B22"/>
                <w:sz w:val="17"/>
              </w:rPr>
              <w:t>docker compose --profile full up -d</w:t>
            </w:r>
            <w:r>
              <w:br/>
            </w:r>
            <w:r>
              <w:rPr>
                <w:rFonts w:ascii="Consolas" w:hAnsi="Consolas"/>
                <w:color w:val="161B22"/>
                <w:sz w:val="17"/>
              </w:rPr>
              <w:t>docker compose ps</w:t>
            </w:r>
            <w:r>
              <w:br/>
            </w:r>
            <w:r>
              <w:rPr>
                <w:rFonts w:ascii="Consolas" w:hAnsi="Consolas"/>
                <w:color w:val="161B22"/>
                <w:sz w:val="17"/>
              </w:rPr>
              <w:t>docker compose logs --tail 200 openwa-api</w:t>
            </w:r>
          </w:p>
        </w:tc>
      </w:tr>
    </w:tbl>
    <w:p>
      <w:pPr>
        <w:spacing w:after="0"/>
      </w:pP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CE8E8"/>
            <w:tcMar>
              <w:top w:w="140" w:type="dxa"/>
              <w:start w:w="120" w:type="dxa"/>
              <w:bottom w:w="140" w:type="dxa"/>
              <w:end w:w="120" w:type="dxa"/>
            </w:tcMar>
          </w:tcPr>
          <w:p>
            <w:pPr>
              <w:spacing w:after="60"/>
            </w:pPr>
            <w:r>
              <w:rPr>
                <w:rFonts w:ascii="Calibri" w:hAnsi="Calibri"/>
                <w:b/>
                <w:color w:val="9B1C1C"/>
                <w:sz w:val="21"/>
              </w:rPr>
              <w:t>Do not publish localhost development</w:t>
            </w:r>
          </w:p>
          <w:p>
            <w:pPr>
              <w:spacing w:after="0" w:line="276" w:lineRule="auto"/>
            </w:pPr>
            <w:r>
              <w:rPr>
                <w:rFonts w:ascii="Calibri" w:hAnsi="Calibri"/>
                <w:color w:val="161B22"/>
                <w:sz w:val="20"/>
              </w:rPr>
              <w:t>The Vite development dashboard on port 2886 and a development API key are for local work. Public production should expose only the HTTPS reverse proxy to port 2785 and should keep Swagger off unless deliberately enabled.</w:t>
            </w:r>
          </w:p>
        </w:tc>
      </w:tr>
    </w:tbl>
    <w:p>
      <w:pPr>
        <w:spacing w:after="0"/>
      </w:pPr>
    </w:p>
    <w:p>
      <w:pPr>
        <w:pageBreakBefore/>
        <w:spacing w:before="0" w:after="0" w:line="240" w:lineRule="auto"/>
      </w:pPr>
      <w:r>
        <w:rPr>
          <w:rFonts w:ascii="Calibri" w:hAnsi="Calibri"/>
          <w:color w:val="FFFFFF"/>
          <w:sz w:val="2"/>
        </w:rPr>
        <w:t>​</w:t>
      </w:r>
    </w:p>
    <w:p>
      <w:pPr>
        <w:pStyle w:val="Heading1"/>
        <w:keepNext/>
      </w:pPr>
      <w:r>
        <w:t>10. Security hardening</w:t>
      </w:r>
    </w:p>
    <w:tbl>
      <w:tblPr>
        <w:tblStyle w:val="TableGrid"/>
        <w:tblW w:type="dxa" w:w="9360"/>
        <w:jc w:val="left"/>
        <w:tblLayout w:type="fixed"/>
        <w:tblLook w:firstColumn="1" w:firstRow="1" w:lastColumn="0" w:lastRow="0" w:noHBand="0" w:noVBand="1" w:val="04A0"/>
        <w:tblLayout w:type="fixed"/>
        <w:tblInd w:w="120" w:type="dxa"/>
      </w:tblPr>
      <w:tblGrid>
        <w:gridCol w:w="792"/>
        <w:gridCol w:w="1800"/>
        <w:gridCol w:w="6768"/>
      </w:tblGrid>
      <w:tr>
        <w:trPr>
          <w:cantSplit/>
          <w:tblHeader w:val="true"/>
        </w:trPr>
        <w:tc>
          <w:tcPr>
            <w:tcW w:type="dxa" w:w="792"/>
            <w:vAlign w:val="center"/>
            <w:tcMar>
              <w:top w:w="80" w:type="dxa"/>
              <w:start w:w="120" w:type="dxa"/>
              <w:bottom w:w="80" w:type="dxa"/>
              <w:end w:w="120" w:type="dxa"/>
            </w:tcMar>
            <w:shd w:fill="E8EEF5"/>
          </w:tcPr>
          <w:p>
            <w:pPr>
              <w:spacing w:before="0" w:after="40" w:line="252" w:lineRule="auto"/>
            </w:pPr>
            <w:r>
              <w:rPr>
                <w:rFonts w:ascii="Calibri" w:hAnsi="Calibri"/>
                <w:b/>
                <w:color w:val="0B2545"/>
                <w:sz w:val="16"/>
              </w:rPr>
              <w:t>Priority</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6"/>
              </w:rPr>
              <w:t>Control</w:t>
            </w:r>
          </w:p>
        </w:tc>
        <w:tc>
          <w:tcPr>
            <w:tcW w:type="dxa" w:w="6768"/>
            <w:vAlign w:val="center"/>
            <w:tcMar>
              <w:top w:w="80" w:type="dxa"/>
              <w:start w:w="120" w:type="dxa"/>
              <w:bottom w:w="80" w:type="dxa"/>
              <w:end w:w="120" w:type="dxa"/>
            </w:tcMar>
            <w:shd w:fill="E8EEF5"/>
          </w:tcPr>
          <w:p>
            <w:pPr>
              <w:spacing w:before="0" w:after="40" w:line="252" w:lineRule="auto"/>
            </w:pPr>
            <w:r>
              <w:rPr>
                <w:rFonts w:ascii="Calibri" w:hAnsi="Calibri"/>
                <w:b/>
                <w:color w:val="0B2545"/>
                <w:sz w:val="16"/>
              </w:rPr>
              <w:t>Required action</w:t>
            </w:r>
          </w:p>
        </w:tc>
      </w:tr>
      <w:tr>
        <w:trPr>
          <w:cantSplit/>
        </w:trPr>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61B22"/>
                <w:sz w:val="16"/>
              </w:rPr>
              <w:t>P0</w:t>
            </w:r>
          </w:p>
        </w:tc>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Secrets</w:t>
            </w:r>
          </w:p>
        </w:tc>
        <w:tc>
          <w:tcPr>
            <w:tcW w:type="dxa" w:w="6768"/>
            <w:vAlign w:val="center"/>
            <w:tcMar>
              <w:top w:w="80" w:type="dxa"/>
              <w:start w:w="120" w:type="dxa"/>
              <w:bottom w:w="80" w:type="dxa"/>
              <w:end w:w="120" w:type="dxa"/>
            </w:tcMar>
          </w:tcPr>
          <w:p>
            <w:pPr>
              <w:spacing w:before="0" w:after="40" w:line="252" w:lineRule="auto"/>
            </w:pPr>
            <w:r>
              <w:rPr>
                <w:rFonts w:ascii="Calibri" w:hAnsi="Calibri"/>
                <w:b w:val="0"/>
                <w:color w:val="161B22"/>
                <w:sz w:val="16"/>
              </w:rPr>
              <w:t>Disable ALLOW_DEV_API_KEY; use long random API keys; set API_KEY_PEPPER; never commit .env or session data.</w:t>
            </w:r>
          </w:p>
        </w:tc>
      </w:tr>
      <w:tr>
        <w:trPr>
          <w:cantSplit/>
        </w:trPr>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61B22"/>
                <w:sz w:val="16"/>
              </w:rPr>
              <w:t>P0</w:t>
            </w:r>
          </w:p>
        </w:tc>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Access</w:t>
            </w:r>
          </w:p>
        </w:tc>
        <w:tc>
          <w:tcPr>
            <w:tcW w:type="dxa" w:w="6768"/>
            <w:vAlign w:val="center"/>
            <w:tcMar>
              <w:top w:w="80" w:type="dxa"/>
              <w:start w:w="120" w:type="dxa"/>
              <w:bottom w:w="80" w:type="dxa"/>
              <w:end w:w="120" w:type="dxa"/>
            </w:tcMar>
          </w:tcPr>
          <w:p>
            <w:pPr>
              <w:spacing w:before="0" w:after="40" w:line="252" w:lineRule="auto"/>
            </w:pPr>
            <w:r>
              <w:rPr>
                <w:rFonts w:ascii="Calibri" w:hAnsi="Calibri"/>
                <w:b w:val="0"/>
                <w:color w:val="161B22"/>
                <w:sz w:val="16"/>
              </w:rPr>
              <w:t>Use ADMIN only for lifecycle tasks; OPERATOR for sending; VIEWER for read-only; restrict allowedSessions and allowedIps.</w:t>
            </w:r>
          </w:p>
        </w:tc>
      </w:tr>
      <w:tr>
        <w:trPr>
          <w:cantSplit/>
        </w:trPr>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61B22"/>
                <w:sz w:val="16"/>
              </w:rPr>
              <w:t>P0</w:t>
            </w:r>
          </w:p>
        </w:tc>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Network</w:t>
            </w:r>
          </w:p>
        </w:tc>
        <w:tc>
          <w:tcPr>
            <w:tcW w:type="dxa" w:w="6768"/>
            <w:vAlign w:val="center"/>
            <w:tcMar>
              <w:top w:w="80" w:type="dxa"/>
              <w:start w:w="120" w:type="dxa"/>
              <w:bottom w:w="80" w:type="dxa"/>
              <w:end w:w="120" w:type="dxa"/>
            </w:tcMar>
          </w:tcPr>
          <w:p>
            <w:pPr>
              <w:spacing w:before="0" w:after="40" w:line="252" w:lineRule="auto"/>
            </w:pPr>
            <w:r>
              <w:rPr>
                <w:rFonts w:ascii="Calibri" w:hAnsi="Calibri"/>
                <w:b w:val="0"/>
                <w:color w:val="161B22"/>
                <w:sz w:val="16"/>
              </w:rPr>
              <w:t>HTTPS only; strict CORS_ORIGINS; firewall private services; keep WEBHOOK_SSRF_PROTECT=true.</w:t>
            </w:r>
          </w:p>
        </w:tc>
      </w:tr>
      <w:tr>
        <w:trPr>
          <w:cantSplit/>
        </w:trPr>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61B22"/>
                <w:sz w:val="16"/>
              </w:rPr>
              <w:t>P0</w:t>
            </w:r>
          </w:p>
        </w:tc>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Data</w:t>
            </w:r>
          </w:p>
        </w:tc>
        <w:tc>
          <w:tcPr>
            <w:tcW w:type="dxa" w:w="6768"/>
            <w:vAlign w:val="center"/>
            <w:tcMar>
              <w:top w:w="80" w:type="dxa"/>
              <w:start w:w="120" w:type="dxa"/>
              <w:bottom w:w="80" w:type="dxa"/>
              <w:end w:w="120" w:type="dxa"/>
            </w:tcMar>
          </w:tcPr>
          <w:p>
            <w:pPr>
              <w:spacing w:before="0" w:after="40" w:line="252" w:lineRule="auto"/>
            </w:pPr>
            <w:r>
              <w:rPr>
                <w:rFonts w:ascii="Calibri" w:hAnsi="Calibri"/>
                <w:b w:val="0"/>
                <w:color w:val="161B22"/>
                <w:sz w:val="16"/>
              </w:rPr>
              <w:t>Encrypt disks/backups; restrict database and S3 credentials; define retention and deletion; test restores.</w:t>
            </w:r>
          </w:p>
        </w:tc>
      </w:tr>
      <w:tr>
        <w:trPr>
          <w:cantSplit/>
        </w:trPr>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61B22"/>
                <w:sz w:val="16"/>
              </w:rPr>
              <w:t>P1</w:t>
            </w:r>
          </w:p>
        </w:tc>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API surface</w:t>
            </w:r>
          </w:p>
        </w:tc>
        <w:tc>
          <w:tcPr>
            <w:tcW w:type="dxa" w:w="6768"/>
            <w:vAlign w:val="center"/>
            <w:tcMar>
              <w:top w:w="80" w:type="dxa"/>
              <w:start w:w="120" w:type="dxa"/>
              <w:bottom w:w="80" w:type="dxa"/>
              <w:end w:w="120" w:type="dxa"/>
            </w:tcMar>
          </w:tcPr>
          <w:p>
            <w:pPr>
              <w:spacing w:before="0" w:after="40" w:line="252" w:lineRule="auto"/>
            </w:pPr>
            <w:r>
              <w:rPr>
                <w:rFonts w:ascii="Calibri" w:hAnsi="Calibri"/>
                <w:b w:val="0"/>
                <w:color w:val="161B22"/>
                <w:sz w:val="16"/>
              </w:rPr>
              <w:t>Keep ENABLE_SWAGGER=false in production; set BODY_SIZE_LIMIT; enable request throttles and per-session send pacing.</w:t>
            </w:r>
          </w:p>
        </w:tc>
      </w:tr>
      <w:tr>
        <w:trPr>
          <w:cantSplit/>
        </w:trPr>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61B22"/>
                <w:sz w:val="16"/>
              </w:rPr>
              <w:t>P1</w:t>
            </w:r>
          </w:p>
        </w:tc>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Webhooks</w:t>
            </w:r>
          </w:p>
        </w:tc>
        <w:tc>
          <w:tcPr>
            <w:tcW w:type="dxa" w:w="6768"/>
            <w:vAlign w:val="center"/>
            <w:tcMar>
              <w:top w:w="80" w:type="dxa"/>
              <w:start w:w="120" w:type="dxa"/>
              <w:bottom w:w="80" w:type="dxa"/>
              <w:end w:w="120" w:type="dxa"/>
            </w:tcMar>
          </w:tcPr>
          <w:p>
            <w:pPr>
              <w:spacing w:before="0" w:after="40" w:line="252" w:lineRule="auto"/>
            </w:pPr>
            <w:r>
              <w:rPr>
                <w:rFonts w:ascii="Calibri" w:hAnsi="Calibri"/>
                <w:b w:val="0"/>
                <w:color w:val="161B22"/>
                <w:sz w:val="16"/>
              </w:rPr>
              <w:t>Use 32+ random secret, verify raw-body HMAC, dedupe, rate-limit receiver and never log full payloads unnecessarily.</w:t>
            </w:r>
          </w:p>
        </w:tc>
      </w:tr>
      <w:tr>
        <w:trPr>
          <w:cantSplit/>
        </w:trPr>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61B22"/>
                <w:sz w:val="16"/>
              </w:rPr>
              <w:t>P1</w:t>
            </w:r>
          </w:p>
        </w:tc>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Plugins</w:t>
            </w:r>
          </w:p>
        </w:tc>
        <w:tc>
          <w:tcPr>
            <w:tcW w:type="dxa" w:w="6768"/>
            <w:vAlign w:val="center"/>
            <w:tcMar>
              <w:top w:w="80" w:type="dxa"/>
              <w:start w:w="120" w:type="dxa"/>
              <w:bottom w:w="80" w:type="dxa"/>
              <w:end w:w="120" w:type="dxa"/>
            </w:tcMar>
          </w:tcPr>
          <w:p>
            <w:pPr>
              <w:spacing w:before="0" w:after="40" w:line="252" w:lineRule="auto"/>
            </w:pPr>
            <w:r>
              <w:rPr>
                <w:rFonts w:ascii="Calibri" w:hAnsi="Calibri"/>
                <w:b w:val="0"/>
                <w:color w:val="161B22"/>
                <w:sz w:val="16"/>
              </w:rPr>
              <w:t>Trust review + SHA-256 pin + least permissions; OS-isolate untrusted code.</w:t>
            </w:r>
          </w:p>
        </w:tc>
      </w:tr>
      <w:tr>
        <w:trPr>
          <w:cantSplit/>
        </w:trPr>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61B22"/>
                <w:sz w:val="16"/>
              </w:rPr>
              <w:t>P1</w:t>
            </w:r>
          </w:p>
        </w:tc>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Docker</w:t>
            </w:r>
          </w:p>
        </w:tc>
        <w:tc>
          <w:tcPr>
            <w:tcW w:type="dxa" w:w="6768"/>
            <w:vAlign w:val="center"/>
            <w:tcMar>
              <w:top w:w="80" w:type="dxa"/>
              <w:start w:w="120" w:type="dxa"/>
              <w:bottom w:w="80" w:type="dxa"/>
              <w:end w:w="120" w:type="dxa"/>
            </w:tcMar>
          </w:tcPr>
          <w:p>
            <w:pPr>
              <w:spacing w:before="0" w:after="40" w:line="252" w:lineRule="auto"/>
            </w:pPr>
            <w:r>
              <w:rPr>
                <w:rFonts w:ascii="Calibri" w:hAnsi="Calibri"/>
                <w:b w:val="0"/>
                <w:color w:val="161B22"/>
                <w:sz w:val="16"/>
              </w:rPr>
              <w:t>Keep non-root execution; disable docker-proxy if dashboard datastore orchestration is unused.</w:t>
            </w:r>
          </w:p>
        </w:tc>
      </w:tr>
      <w:tr>
        <w:trPr>
          <w:cantSplit/>
        </w:trPr>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61B22"/>
                <w:sz w:val="16"/>
              </w:rPr>
              <w:t>P2</w:t>
            </w:r>
          </w:p>
        </w:tc>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Monitoring</w:t>
            </w:r>
          </w:p>
        </w:tc>
        <w:tc>
          <w:tcPr>
            <w:tcW w:type="dxa" w:w="6768"/>
            <w:vAlign w:val="center"/>
            <w:tcMar>
              <w:top w:w="80" w:type="dxa"/>
              <w:start w:w="120" w:type="dxa"/>
              <w:bottom w:w="80" w:type="dxa"/>
              <w:end w:w="120" w:type="dxa"/>
            </w:tcMar>
          </w:tcPr>
          <w:p>
            <w:pPr>
              <w:spacing w:before="0" w:after="40" w:line="252" w:lineRule="auto"/>
            </w:pPr>
            <w:r>
              <w:rPr>
                <w:rFonts w:ascii="Calibri" w:hAnsi="Calibri"/>
                <w:b w:val="0"/>
                <w:color w:val="161B22"/>
                <w:sz w:val="16"/>
              </w:rPr>
              <w:t>Alert on restriction/disconnect loops, send failures, webhook dead letters, auth failures, disk space and backup failures.</w:t>
            </w:r>
          </w:p>
        </w:tc>
      </w:tr>
      <w:tr>
        <w:trPr>
          <w:cantSplit/>
        </w:trPr>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61B22"/>
                <w:sz w:val="16"/>
              </w:rPr>
              <w:t>P2</w:t>
            </w:r>
          </w:p>
        </w:tc>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Updates</w:t>
            </w:r>
          </w:p>
        </w:tc>
        <w:tc>
          <w:tcPr>
            <w:tcW w:type="dxa" w:w="6768"/>
            <w:vAlign w:val="center"/>
            <w:tcMar>
              <w:top w:w="80" w:type="dxa"/>
              <w:start w:w="120" w:type="dxa"/>
              <w:bottom w:w="80" w:type="dxa"/>
              <w:end w:w="120" w:type="dxa"/>
            </w:tcMar>
          </w:tcPr>
          <w:p>
            <w:pPr>
              <w:spacing w:before="0" w:after="40" w:line="252" w:lineRule="auto"/>
            </w:pPr>
            <w:r>
              <w:rPr>
                <w:rFonts w:ascii="Calibri" w:hAnsi="Calibri"/>
                <w:b w:val="0"/>
                <w:color w:val="161B22"/>
                <w:sz w:val="16"/>
              </w:rPr>
              <w:t>Run tests and migrations in staging; read SECURITY.md; latest 0.23.x receives security fixes while older minors do not.</w:t>
            </w:r>
          </w:p>
        </w:tc>
      </w:tr>
    </w:tbl>
    <w:p>
      <w:pPr>
        <w:spacing w:after="0"/>
      </w:pPr>
    </w:p>
    <w:p>
      <w:pPr>
        <w:pStyle w:val="Heading2"/>
        <w:keepNext/>
        <w:pageBreakBefore w:val="0"/>
      </w:pPr>
      <w:r>
        <w:t>Sensitive assets</w:t>
      </w:r>
    </w:p>
    <w:p>
      <w:pPr>
        <w:spacing w:after="80" w:line="300" w:lineRule="auto"/>
        <w:numPr>
          <w:ilvl w:val="0"/>
          <w:numId w:val="10"/>
        </w:numPr>
      </w:pPr>
      <w:r>
        <w:rPr>
          <w:rFonts w:ascii="Calibri" w:hAnsi="Calibri"/>
          <w:color w:val="161B22"/>
          <w:sz w:val="22"/>
        </w:rPr>
        <w:t>WhatsApp session credentials can control the linked account.</w:t>
      </w:r>
    </w:p>
    <w:p>
      <w:pPr>
        <w:spacing w:after="80" w:line="300" w:lineRule="auto"/>
        <w:numPr>
          <w:ilvl w:val="0"/>
          <w:numId w:val="10"/>
        </w:numPr>
      </w:pPr>
      <w:r>
        <w:rPr>
          <w:rFonts w:ascii="Calibri" w:hAnsi="Calibri"/>
          <w:color w:val="161B22"/>
          <w:sz w:val="22"/>
        </w:rPr>
        <w:t>API keys can read or change deployment data according to role and session scope.</w:t>
      </w:r>
    </w:p>
    <w:p>
      <w:pPr>
        <w:spacing w:after="80" w:line="300" w:lineRule="auto"/>
        <w:numPr>
          <w:ilvl w:val="0"/>
          <w:numId w:val="10"/>
        </w:numPr>
      </w:pPr>
      <w:r>
        <w:rPr>
          <w:rFonts w:ascii="Calibri" w:hAnsi="Calibri"/>
          <w:color w:val="161B22"/>
          <w:sz w:val="22"/>
        </w:rPr>
        <w:t>Messages, contacts and webhook payloads can contain personal data.</w:t>
      </w:r>
    </w:p>
    <w:p>
      <w:pPr>
        <w:spacing w:after="80" w:line="300" w:lineRule="auto"/>
        <w:numPr>
          <w:ilvl w:val="0"/>
          <w:numId w:val="10"/>
        </w:numPr>
      </w:pPr>
      <w:r>
        <w:rPr>
          <w:rFonts w:ascii="Calibri" w:hAnsi="Calibri"/>
          <w:color w:val="161B22"/>
          <w:sz w:val="22"/>
        </w:rPr>
        <w:t>Plugin configuration and custom webhook headers can contain third-party secrets.</w:t>
      </w:r>
    </w:p>
    <w:p>
      <w:pPr>
        <w:spacing w:after="80" w:line="300" w:lineRule="auto"/>
        <w:numPr>
          <w:ilvl w:val="0"/>
          <w:numId w:val="10"/>
        </w:numPr>
      </w:pPr>
      <w:r>
        <w:rPr>
          <w:rFonts w:ascii="Calibri" w:hAnsi="Calibri"/>
          <w:color w:val="161B22"/>
          <w:sz w:val="22"/>
        </w:rPr>
        <w:t>Docker orchestration access can become host-root-equivalent if the API container is compromised.</w:t>
      </w:r>
    </w:p>
    <w:p>
      <w:pPr>
        <w:pageBreakBefore/>
        <w:spacing w:before="0" w:after="0" w:line="240" w:lineRule="auto"/>
      </w:pPr>
      <w:r>
        <w:rPr>
          <w:rFonts w:ascii="Calibri" w:hAnsi="Calibri"/>
          <w:color w:val="FFFFFF"/>
          <w:sz w:val="2"/>
        </w:rPr>
        <w:t>​</w:t>
      </w:r>
    </w:p>
    <w:p>
      <w:pPr>
        <w:pStyle w:val="Heading1"/>
        <w:keepNext/>
      </w:pPr>
      <w:r>
        <w:t>11. SaaS architecture and gaps</w:t>
      </w:r>
    </w:p>
    <w:p>
      <w:pPr>
        <w:spacing w:after="120" w:line="300" w:lineRule="auto"/>
      </w:pPr>
      <w:r>
        <w:rPr>
          <w:rFonts w:ascii="Calibri" w:hAnsi="Calibri"/>
          <w:color w:val="161B22"/>
          <w:sz w:val="22"/>
        </w:rPr>
        <w:t>The current release supports many sessions and session-scoped API keys, but its multitenancy document is explicitly a draft proposal. It does not implement tenant organizations, memberships, customer login, tenant 2FA, billing, quotas, per-tenant backups or a guaranteed tenant data boundary.</w:t>
      </w:r>
    </w:p>
    <w:p>
      <w:pPr>
        <w:spacing w:after="160"/>
        <w:jc w:val="center"/>
      </w:pPr>
      <w:r>
        <w:drawing>
          <wp:inline xmlns:a="http://schemas.openxmlformats.org/drawingml/2006/main" xmlns:pic="http://schemas.openxmlformats.org/drawingml/2006/picture">
            <wp:extent cx="5806440" cy="2864510"/>
            <wp:docPr id="2" name="Picture 2" descr="Recommended OpenWA commercial SaaS architecture showing customer app, SaaS control plane, queue and policy layer, OpenWA deployment, and dedicated WhatsApp number"/>
            <wp:cNvGraphicFramePr>
              <a:graphicFrameLocks noChangeAspect="1"/>
            </wp:cNvGraphicFramePr>
            <a:graphic>
              <a:graphicData uri="http://schemas.openxmlformats.org/drawingml/2006/picture">
                <pic:pic>
                  <pic:nvPicPr>
                    <pic:cNvPr id="0" name="openwa_saas_architecture.png"/>
                    <pic:cNvPicPr/>
                  </pic:nvPicPr>
                  <pic:blipFill>
                    <a:blip r:embed="rId14"/>
                    <a:stretch>
                      <a:fillRect/>
                    </a:stretch>
                  </pic:blipFill>
                  <pic:spPr>
                    <a:xfrm>
                      <a:off x="0" y="0"/>
                      <a:ext cx="5806440" cy="2864510"/>
                    </a:xfrm>
                    <a:prstGeom prst="rect"/>
                  </pic:spPr>
                </pic:pic>
              </a:graphicData>
            </a:graphic>
          </wp:inline>
        </w:drawing>
      </w:r>
    </w:p>
    <w:p>
      <w:pPr>
        <w:spacing w:after="160"/>
        <w:jc w:val="center"/>
      </w:pPr>
      <w:r>
        <w:rPr>
          <w:rFonts w:ascii="Calibri" w:hAnsi="Calibri"/>
          <w:i/>
          <w:color w:val="5F6B7A"/>
          <w:sz w:val="17"/>
        </w:rPr>
        <w:t>Figure 1. Recommended separation between SaaS control plane and OpenWA gateway</w:t>
      </w:r>
    </w:p>
    <w:p>
      <w:pPr>
        <w:pStyle w:val="Heading2"/>
        <w:keepNext/>
        <w:pageBreakBefore w:val="0"/>
      </w:pPr>
      <w:r>
        <w:t>Recommended customer isolation</w:t>
      </w:r>
    </w:p>
    <w:tbl>
      <w:tblPr>
        <w:tblStyle w:val="TableGrid"/>
        <w:tblW w:type="dxa" w:w="9360"/>
        <w:jc w:val="left"/>
        <w:tblLayout w:type="fixed"/>
        <w:tblLook w:firstColumn="1" w:firstRow="1" w:lastColumn="0" w:lastRow="0" w:noHBand="0" w:noVBand="1" w:val="04A0"/>
        <w:tblLayout w:type="fixed"/>
        <w:tblInd w:w="120" w:type="dxa"/>
      </w:tblPr>
      <w:tblGrid>
        <w:gridCol w:w="2376"/>
        <w:gridCol w:w="3384"/>
        <w:gridCol w:w="3600"/>
      </w:tblGrid>
      <w:tr>
        <w:trPr>
          <w:cantSplit/>
          <w:tblHeader w:val="true"/>
        </w:trPr>
        <w:tc>
          <w:tcPr>
            <w:tcW w:type="dxa" w:w="2376"/>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Model</w:t>
            </w:r>
          </w:p>
        </w:tc>
        <w:tc>
          <w:tcPr>
            <w:tcW w:type="dxa" w:w="3384"/>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Isolation</w:t>
            </w:r>
          </w:p>
        </w:tc>
        <w:tc>
          <w:tcPr>
            <w:tcW w:type="dxa" w:w="3600"/>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Recommendation</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61B22"/>
                <w:sz w:val="17"/>
              </w:rPr>
              <w:t>One shared OpenWA instance</w:t>
            </w:r>
          </w:p>
        </w:tc>
        <w:tc>
          <w:tcPr>
            <w:tcW w:type="dxa" w:w="3384"/>
            <w:vAlign w:val="center"/>
            <w:tcMar>
              <w:top w:w="80" w:type="dxa"/>
              <w:start w:w="120" w:type="dxa"/>
              <w:bottom w:w="80" w:type="dxa"/>
              <w:end w:w="120" w:type="dxa"/>
            </w:tcMar>
          </w:tcPr>
          <w:p>
            <w:pPr>
              <w:spacing w:before="0" w:after="40" w:line="252" w:lineRule="auto"/>
            </w:pPr>
            <w:r>
              <w:rPr>
                <w:rFonts w:ascii="Calibri" w:hAnsi="Calibri"/>
                <w:b w:val="0"/>
                <w:color w:val="161B22"/>
                <w:sz w:val="17"/>
              </w:rPr>
              <w:t>Session-scoped keys only; no tenant entity</w:t>
            </w:r>
          </w:p>
        </w:tc>
        <w:tc>
          <w:tcPr>
            <w:tcW w:type="dxa" w:w="3600"/>
            <w:vAlign w:val="center"/>
            <w:tcMar>
              <w:top w:w="80" w:type="dxa"/>
              <w:start w:w="120" w:type="dxa"/>
              <w:bottom w:w="80" w:type="dxa"/>
              <w:end w:w="120" w:type="dxa"/>
            </w:tcMar>
          </w:tcPr>
          <w:p>
            <w:pPr>
              <w:spacing w:before="0" w:after="40" w:line="252" w:lineRule="auto"/>
            </w:pPr>
            <w:r>
              <w:rPr>
                <w:rFonts w:ascii="Calibri" w:hAnsi="Calibri"/>
                <w:b w:val="0"/>
                <w:color w:val="161B22"/>
                <w:sz w:val="17"/>
              </w:rPr>
              <w:t>Suitable only for one trusted organization or tightly controlled internal teams.</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61B22"/>
                <w:sz w:val="17"/>
              </w:rPr>
              <w:t>One OpenWA deployment/customer</w:t>
            </w:r>
          </w:p>
        </w:tc>
        <w:tc>
          <w:tcPr>
            <w:tcW w:type="dxa" w:w="3384"/>
            <w:vAlign w:val="center"/>
            <w:tcMar>
              <w:top w:w="80" w:type="dxa"/>
              <w:start w:w="120" w:type="dxa"/>
              <w:bottom w:w="80" w:type="dxa"/>
              <w:end w:w="120" w:type="dxa"/>
            </w:tcMar>
          </w:tcPr>
          <w:p>
            <w:pPr>
              <w:spacing w:before="0" w:after="40" w:line="252" w:lineRule="auto"/>
            </w:pPr>
            <w:r>
              <w:rPr>
                <w:rFonts w:ascii="Calibri" w:hAnsi="Calibri"/>
                <w:b w:val="0"/>
                <w:color w:val="161B22"/>
                <w:sz w:val="17"/>
              </w:rPr>
              <w:t>Separate process, DB, storage, secrets and network</w:t>
            </w:r>
          </w:p>
        </w:tc>
        <w:tc>
          <w:tcPr>
            <w:tcW w:type="dxa" w:w="3600"/>
            <w:vAlign w:val="center"/>
            <w:tcMar>
              <w:top w:w="80" w:type="dxa"/>
              <w:start w:w="120" w:type="dxa"/>
              <w:bottom w:w="80" w:type="dxa"/>
              <w:end w:w="120" w:type="dxa"/>
            </w:tcMar>
          </w:tcPr>
          <w:p>
            <w:pPr>
              <w:spacing w:before="0" w:after="40" w:line="252" w:lineRule="auto"/>
            </w:pPr>
            <w:r>
              <w:rPr>
                <w:rFonts w:ascii="Calibri" w:hAnsi="Calibri"/>
                <w:b w:val="0"/>
                <w:color w:val="161B22"/>
                <w:sz w:val="17"/>
              </w:rPr>
              <w:t>Recommended starting model for paying customers; simpler and safer tenant boundary.</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61B22"/>
                <w:sz w:val="17"/>
              </w:rPr>
              <w:t>Official WhatsApp Platform/customer</w:t>
            </w:r>
          </w:p>
        </w:tc>
        <w:tc>
          <w:tcPr>
            <w:tcW w:type="dxa" w:w="3384"/>
            <w:vAlign w:val="center"/>
            <w:tcMar>
              <w:top w:w="80" w:type="dxa"/>
              <w:start w:w="120" w:type="dxa"/>
              <w:bottom w:w="80" w:type="dxa"/>
              <w:end w:w="120" w:type="dxa"/>
            </w:tcMar>
          </w:tcPr>
          <w:p>
            <w:pPr>
              <w:spacing w:before="0" w:after="40" w:line="252" w:lineRule="auto"/>
            </w:pPr>
            <w:r>
              <w:rPr>
                <w:rFonts w:ascii="Calibri" w:hAnsi="Calibri"/>
                <w:b w:val="0"/>
                <w:color w:val="161B22"/>
                <w:sz w:val="17"/>
              </w:rPr>
              <w:t>Meta WABA/phone number and official policy controls</w:t>
            </w:r>
          </w:p>
        </w:tc>
        <w:tc>
          <w:tcPr>
            <w:tcW w:type="dxa" w:w="3600"/>
            <w:vAlign w:val="center"/>
            <w:tcMar>
              <w:top w:w="80" w:type="dxa"/>
              <w:start w:w="120" w:type="dxa"/>
              <w:bottom w:w="80" w:type="dxa"/>
              <w:end w:w="120" w:type="dxa"/>
            </w:tcMar>
          </w:tcPr>
          <w:p>
            <w:pPr>
              <w:spacing w:before="0" w:after="40" w:line="252" w:lineRule="auto"/>
            </w:pPr>
            <w:r>
              <w:rPr>
                <w:rFonts w:ascii="Calibri" w:hAnsi="Calibri"/>
                <w:b w:val="0"/>
                <w:color w:val="161B22"/>
                <w:sz w:val="17"/>
              </w:rPr>
              <w:t>Preferred for regulated, high-volume, revenue-critical or long-term commercial messaging.</w:t>
            </w:r>
          </w:p>
        </w:tc>
      </w:tr>
    </w:tbl>
    <w:p>
      <w:pPr>
        <w:spacing w:after="0"/>
      </w:pPr>
    </w:p>
    <w:p>
      <w:pPr>
        <w:pStyle w:val="Heading2"/>
        <w:keepNext/>
        <w:pageBreakBefore/>
      </w:pPr>
      <w:r>
        <w:t>Your SaaS control plane must add</w:t>
      </w:r>
    </w:p>
    <w:p>
      <w:pPr>
        <w:spacing w:after="80" w:line="300" w:lineRule="auto"/>
        <w:numPr>
          <w:ilvl w:val="0"/>
          <w:numId w:val="10"/>
        </w:numPr>
      </w:pPr>
      <w:r>
        <w:rPr>
          <w:rFonts w:ascii="Calibri" w:hAnsi="Calibri"/>
          <w:color w:val="161B22"/>
          <w:sz w:val="22"/>
        </w:rPr>
        <w:t>Tenant organization, named users, password/SSO, 2FA, roles and support impersonation audit.</w:t>
      </w:r>
    </w:p>
    <w:p>
      <w:pPr>
        <w:spacing w:after="80" w:line="300" w:lineRule="auto"/>
        <w:numPr>
          <w:ilvl w:val="0"/>
          <w:numId w:val="10"/>
        </w:numPr>
      </w:pPr>
      <w:r>
        <w:rPr>
          <w:rFonts w:ascii="Calibri" w:hAnsi="Calibri"/>
          <w:color w:val="161B22"/>
          <w:sz w:val="22"/>
        </w:rPr>
        <w:t>Subscription/billing, trial rules, plan limits and customer lifecycle.</w:t>
      </w:r>
    </w:p>
    <w:p>
      <w:pPr>
        <w:spacing w:after="80" w:line="300" w:lineRule="auto"/>
        <w:numPr>
          <w:ilvl w:val="0"/>
          <w:numId w:val="10"/>
        </w:numPr>
      </w:pPr>
      <w:r>
        <w:rPr>
          <w:rFonts w:ascii="Calibri" w:hAnsi="Calibri"/>
          <w:color w:val="161B22"/>
          <w:sz w:val="22"/>
        </w:rPr>
        <w:t>Consent records: recipient, source, timestamp, categories, proof and opt-out state.</w:t>
      </w:r>
    </w:p>
    <w:p>
      <w:pPr>
        <w:spacing w:after="80" w:line="300" w:lineRule="auto"/>
        <w:numPr>
          <w:ilvl w:val="0"/>
          <w:numId w:val="10"/>
        </w:numPr>
      </w:pPr>
      <w:r>
        <w:rPr>
          <w:rFonts w:ascii="Calibri" w:hAnsi="Calibri"/>
          <w:color w:val="161B22"/>
          <w:sz w:val="22"/>
        </w:rPr>
        <w:t>Per-tenant/session queue, daily limits, cold-contact blocks, deduplication and idempotency.</w:t>
      </w:r>
    </w:p>
    <w:p>
      <w:pPr>
        <w:spacing w:after="80" w:line="300" w:lineRule="auto"/>
        <w:numPr>
          <w:ilvl w:val="0"/>
          <w:numId w:val="10"/>
        </w:numPr>
      </w:pPr>
      <w:r>
        <w:rPr>
          <w:rFonts w:ascii="Calibri" w:hAnsi="Calibri"/>
          <w:color w:val="161B22"/>
          <w:sz w:val="22"/>
        </w:rPr>
        <w:t>Template review, campaign approval, quiet hours, timezone handling and human escalation.</w:t>
      </w:r>
    </w:p>
    <w:p>
      <w:pPr>
        <w:spacing w:after="80" w:line="300" w:lineRule="auto"/>
        <w:numPr>
          <w:ilvl w:val="0"/>
          <w:numId w:val="10"/>
        </w:numPr>
      </w:pPr>
      <w:r>
        <w:rPr>
          <w:rFonts w:ascii="Calibri" w:hAnsi="Calibri"/>
          <w:color w:val="161B22"/>
          <w:sz w:val="22"/>
        </w:rPr>
        <w:t>Tenant-scoped database/storage/backup/export/deletion and cross-tenant security tests.</w:t>
      </w:r>
    </w:p>
    <w:p>
      <w:pPr>
        <w:spacing w:after="80" w:line="300" w:lineRule="auto"/>
        <w:numPr>
          <w:ilvl w:val="0"/>
          <w:numId w:val="10"/>
        </w:numPr>
      </w:pPr>
      <w:r>
        <w:rPr>
          <w:rFonts w:ascii="Calibri" w:hAnsi="Calibri"/>
          <w:color w:val="161B22"/>
          <w:sz w:val="22"/>
        </w:rPr>
        <w:t>Abuse detection, complaints, incident response, number replacement and alternate-channel fallback.</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FF4D6"/>
            <w:tcMar>
              <w:top w:w="140" w:type="dxa"/>
              <w:start w:w="120" w:type="dxa"/>
              <w:bottom w:w="140" w:type="dxa"/>
              <w:end w:w="120" w:type="dxa"/>
            </w:tcMar>
          </w:tcPr>
          <w:p>
            <w:pPr>
              <w:spacing w:after="60"/>
            </w:pPr>
            <w:r>
              <w:rPr>
                <w:rFonts w:ascii="Calibri" w:hAnsi="Calibri"/>
                <w:b/>
                <w:color w:val="7A5A00"/>
                <w:sz w:val="21"/>
              </w:rPr>
              <w:t>Commercial recommendation</w:t>
            </w:r>
          </w:p>
          <w:p>
            <w:pPr>
              <w:spacing w:after="0" w:line="276" w:lineRule="auto"/>
            </w:pPr>
            <w:r>
              <w:rPr>
                <w:rFonts w:ascii="Calibri" w:hAnsi="Calibri"/>
                <w:color w:val="161B22"/>
                <w:sz w:val="20"/>
              </w:rPr>
              <w:t>Do not sell a shared-instance SaaS simply because the dashboard can create multiple sessions. Start with one isolated deployment per customer, or use the official WhatsApp Business Platform and build your SaaS control plane around it.</w:t>
            </w:r>
          </w:p>
        </w:tc>
      </w:tr>
    </w:tbl>
    <w:p>
      <w:pPr>
        <w:spacing w:after="0"/>
      </w:pPr>
    </w:p>
    <w:p>
      <w:pPr>
        <w:pageBreakBefore/>
        <w:spacing w:before="0" w:after="0" w:line="240" w:lineRule="auto"/>
      </w:pPr>
      <w:r>
        <w:rPr>
          <w:rFonts w:ascii="Calibri" w:hAnsi="Calibri"/>
          <w:color w:val="FFFFFF"/>
          <w:sz w:val="2"/>
        </w:rPr>
        <w:t>​</w:t>
      </w:r>
    </w:p>
    <w:p>
      <w:pPr>
        <w:pStyle w:val="Heading1"/>
        <w:keepNext/>
      </w:pPr>
      <w:r>
        <w:t>12. Ready-to-use message templates</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E8EEF5"/>
            <w:tcMar>
              <w:top w:w="140" w:type="dxa"/>
              <w:start w:w="120" w:type="dxa"/>
              <w:bottom w:w="140" w:type="dxa"/>
              <w:end w:w="120" w:type="dxa"/>
            </w:tcMar>
          </w:tcPr>
          <w:p>
            <w:pPr>
              <w:spacing w:after="60"/>
            </w:pPr>
            <w:r>
              <w:rPr>
                <w:rFonts w:ascii="Calibri" w:hAnsi="Calibri"/>
                <w:b/>
                <w:color w:val="0B2545"/>
                <w:sz w:val="21"/>
              </w:rPr>
              <w:t>Template meaning</w:t>
            </w:r>
          </w:p>
          <w:p>
            <w:pPr>
              <w:spacing w:after="0" w:line="276" w:lineRule="auto"/>
            </w:pPr>
            <w:r>
              <w:rPr>
                <w:rFonts w:ascii="Calibri" w:hAnsi="Calibri"/>
                <w:color w:val="161B22"/>
                <w:sz w:val="20"/>
              </w:rPr>
              <w:t>OpenWA templates are session-scoped text records with {{variable}} substitution, optional header and footer. They are not Meta-approved Business Platform templates and do not override opt-in, outreach or 24-hour-window rules.</w:t>
            </w:r>
          </w:p>
        </w:tc>
      </w:tr>
    </w:tbl>
    <w:p>
      <w:pPr>
        <w:spacing w:after="0"/>
      </w:pPr>
    </w:p>
    <w:tbl>
      <w:tblPr>
        <w:tblStyle w:val="TableGrid"/>
        <w:tblW w:type="dxa" w:w="9360"/>
        <w:jc w:val="left"/>
        <w:tblLayout w:type="fixed"/>
        <w:tblLook w:firstColumn="1" w:firstRow="1" w:lastColumn="0" w:lastRow="0" w:noHBand="0" w:noVBand="1" w:val="04A0"/>
        <w:tblLayout w:type="fixed"/>
        <w:tblInd w:w="120" w:type="dxa"/>
      </w:tblPr>
      <w:tblGrid>
        <w:gridCol w:w="1944"/>
        <w:gridCol w:w="5544"/>
        <w:gridCol w:w="1872"/>
      </w:tblGrid>
      <w:tr>
        <w:trPr>
          <w:cantSplit/>
          <w:tblHeader w:val="true"/>
        </w:trPr>
        <w:tc>
          <w:tcPr>
            <w:tcW w:type="dxa" w:w="1944"/>
            <w:vAlign w:val="center"/>
            <w:tcMar>
              <w:top w:w="80" w:type="dxa"/>
              <w:start w:w="120" w:type="dxa"/>
              <w:bottom w:w="80" w:type="dxa"/>
              <w:end w:w="120" w:type="dxa"/>
            </w:tcMar>
            <w:shd w:fill="E8EEF5"/>
          </w:tcPr>
          <w:p>
            <w:pPr>
              <w:spacing w:before="0" w:after="40" w:line="252" w:lineRule="auto"/>
            </w:pPr>
            <w:r>
              <w:rPr>
                <w:rFonts w:ascii="Calibri" w:hAnsi="Calibri"/>
                <w:b/>
                <w:color w:val="0B2545"/>
                <w:sz w:val="16"/>
              </w:rPr>
              <w:t>Name</w:t>
            </w:r>
          </w:p>
        </w:tc>
        <w:tc>
          <w:tcPr>
            <w:tcW w:type="dxa" w:w="5544"/>
            <w:vAlign w:val="center"/>
            <w:tcMar>
              <w:top w:w="80" w:type="dxa"/>
              <w:start w:w="120" w:type="dxa"/>
              <w:bottom w:w="80" w:type="dxa"/>
              <w:end w:w="120" w:type="dxa"/>
            </w:tcMar>
            <w:shd w:fill="E8EEF5"/>
          </w:tcPr>
          <w:p>
            <w:pPr>
              <w:spacing w:before="0" w:after="40" w:line="252" w:lineRule="auto"/>
            </w:pPr>
            <w:r>
              <w:rPr>
                <w:rFonts w:ascii="Calibri" w:hAnsi="Calibri"/>
                <w:b/>
                <w:color w:val="0B2545"/>
                <w:sz w:val="16"/>
              </w:rPr>
              <w:t>Body</w:t>
            </w:r>
          </w:p>
        </w:tc>
        <w:tc>
          <w:tcPr>
            <w:tcW w:type="dxa" w:w="1872"/>
            <w:vAlign w:val="center"/>
            <w:tcMar>
              <w:top w:w="80" w:type="dxa"/>
              <w:start w:w="120" w:type="dxa"/>
              <w:bottom w:w="80" w:type="dxa"/>
              <w:end w:w="120" w:type="dxa"/>
            </w:tcMar>
            <w:shd w:fill="E8EEF5"/>
          </w:tcPr>
          <w:p>
            <w:pPr>
              <w:spacing w:before="0" w:after="40" w:line="252" w:lineRule="auto"/>
            </w:pPr>
            <w:r>
              <w:rPr>
                <w:rFonts w:ascii="Calibri" w:hAnsi="Calibri"/>
                <w:b/>
                <w:color w:val="0B2545"/>
                <w:sz w:val="16"/>
              </w:rPr>
              <w:t>Variables</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order-confirmation</w:t>
            </w:r>
          </w:p>
        </w:tc>
        <w:tc>
          <w:tcPr>
            <w:tcW w:type="dxa" w:w="5544"/>
            <w:vAlign w:val="center"/>
            <w:tcMar>
              <w:top w:w="80" w:type="dxa"/>
              <w:start w:w="120" w:type="dxa"/>
              <w:bottom w:w="80" w:type="dxa"/>
              <w:end w:w="120" w:type="dxa"/>
            </w:tcMar>
          </w:tcPr>
          <w:p>
            <w:pPr>
              <w:spacing w:before="0" w:after="40" w:line="252" w:lineRule="auto"/>
            </w:pPr>
            <w:r>
              <w:rPr>
                <w:rFonts w:ascii="Calibri" w:hAnsi="Calibri"/>
                <w:b w:val="0"/>
                <w:color w:val="161B22"/>
                <w:sz w:val="16"/>
              </w:rPr>
              <w:t>Hi {{customer}}, we received order {{orderId}}. Total: {{total}}. We’ll update you when it ships.</w:t>
            </w:r>
          </w:p>
        </w:tc>
        <w:tc>
          <w:tcPr>
            <w:tcW w:type="dxa" w:w="1872"/>
            <w:vAlign w:val="center"/>
            <w:tcMar>
              <w:top w:w="80" w:type="dxa"/>
              <w:start w:w="120" w:type="dxa"/>
              <w:bottom w:w="80" w:type="dxa"/>
              <w:end w:w="120" w:type="dxa"/>
            </w:tcMar>
          </w:tcPr>
          <w:p>
            <w:pPr>
              <w:spacing w:before="0" w:after="40" w:line="252" w:lineRule="auto"/>
            </w:pPr>
            <w:r>
              <w:rPr>
                <w:rFonts w:ascii="Calibri" w:hAnsi="Calibri"/>
                <w:b w:val="0"/>
                <w:color w:val="161B22"/>
                <w:sz w:val="16"/>
              </w:rPr>
              <w:t>customer, orderId, total</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delivery-update</w:t>
            </w:r>
          </w:p>
        </w:tc>
        <w:tc>
          <w:tcPr>
            <w:tcW w:type="dxa" w:w="5544"/>
            <w:vAlign w:val="center"/>
            <w:tcMar>
              <w:top w:w="80" w:type="dxa"/>
              <w:start w:w="120" w:type="dxa"/>
              <w:bottom w:w="80" w:type="dxa"/>
              <w:end w:w="120" w:type="dxa"/>
            </w:tcMar>
          </w:tcPr>
          <w:p>
            <w:pPr>
              <w:spacing w:before="0" w:after="40" w:line="252" w:lineRule="auto"/>
            </w:pPr>
            <w:r>
              <w:rPr>
                <w:rFonts w:ascii="Calibri" w:hAnsi="Calibri"/>
                <w:b w:val="0"/>
                <w:color w:val="161B22"/>
                <w:sz w:val="16"/>
              </w:rPr>
              <w:t>Hi {{customer}}, order {{orderId}} is {{status}}. Track it here: {{trackingUrl}}</w:t>
            </w:r>
          </w:p>
        </w:tc>
        <w:tc>
          <w:tcPr>
            <w:tcW w:type="dxa" w:w="1872"/>
            <w:vAlign w:val="center"/>
            <w:tcMar>
              <w:top w:w="80" w:type="dxa"/>
              <w:start w:w="120" w:type="dxa"/>
              <w:bottom w:w="80" w:type="dxa"/>
              <w:end w:w="120" w:type="dxa"/>
            </w:tcMar>
          </w:tcPr>
          <w:p>
            <w:pPr>
              <w:spacing w:before="0" w:after="40" w:line="252" w:lineRule="auto"/>
            </w:pPr>
            <w:r>
              <w:rPr>
                <w:rFonts w:ascii="Calibri" w:hAnsi="Calibri"/>
                <w:b w:val="0"/>
                <w:color w:val="161B22"/>
                <w:sz w:val="16"/>
              </w:rPr>
              <w:t>customer, orderId, status, trackingUrl</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appointment-reminder</w:t>
            </w:r>
          </w:p>
        </w:tc>
        <w:tc>
          <w:tcPr>
            <w:tcW w:type="dxa" w:w="5544"/>
            <w:vAlign w:val="center"/>
            <w:tcMar>
              <w:top w:w="80" w:type="dxa"/>
              <w:start w:w="120" w:type="dxa"/>
              <w:bottom w:w="80" w:type="dxa"/>
              <w:end w:w="120" w:type="dxa"/>
            </w:tcMar>
          </w:tcPr>
          <w:p>
            <w:pPr>
              <w:spacing w:before="0" w:after="40" w:line="252" w:lineRule="auto"/>
            </w:pPr>
            <w:r>
              <w:rPr>
                <w:rFonts w:ascii="Calibri" w:hAnsi="Calibri"/>
                <w:b w:val="0"/>
                <w:color w:val="161B22"/>
                <w:sz w:val="16"/>
              </w:rPr>
              <w:t>Hi {{customer}}, reminder: {{service}} on {{date}} at {{time}}. Reply 1 to confirm or 2 to reschedule.</w:t>
            </w:r>
          </w:p>
        </w:tc>
        <w:tc>
          <w:tcPr>
            <w:tcW w:type="dxa" w:w="1872"/>
            <w:vAlign w:val="center"/>
            <w:tcMar>
              <w:top w:w="80" w:type="dxa"/>
              <w:start w:w="120" w:type="dxa"/>
              <w:bottom w:w="80" w:type="dxa"/>
              <w:end w:w="120" w:type="dxa"/>
            </w:tcMar>
          </w:tcPr>
          <w:p>
            <w:pPr>
              <w:spacing w:before="0" w:after="40" w:line="252" w:lineRule="auto"/>
            </w:pPr>
            <w:r>
              <w:rPr>
                <w:rFonts w:ascii="Calibri" w:hAnsi="Calibri"/>
                <w:b w:val="0"/>
                <w:color w:val="161B22"/>
                <w:sz w:val="16"/>
              </w:rPr>
              <w:t>customer, service, date, time</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support-received</w:t>
            </w:r>
          </w:p>
        </w:tc>
        <w:tc>
          <w:tcPr>
            <w:tcW w:type="dxa" w:w="5544"/>
            <w:vAlign w:val="center"/>
            <w:tcMar>
              <w:top w:w="80" w:type="dxa"/>
              <w:start w:w="120" w:type="dxa"/>
              <w:bottom w:w="80" w:type="dxa"/>
              <w:end w:w="120" w:type="dxa"/>
            </w:tcMar>
          </w:tcPr>
          <w:p>
            <w:pPr>
              <w:spacing w:before="0" w:after="40" w:line="252" w:lineRule="auto"/>
            </w:pPr>
            <w:r>
              <w:rPr>
                <w:rFonts w:ascii="Calibri" w:hAnsi="Calibri"/>
                <w:b w:val="0"/>
                <w:color w:val="161B22"/>
                <w:sz w:val="16"/>
              </w:rPr>
              <w:t>Hi {{customer}}, we received request {{ticketId}}. A human will reply by {{responseTime}}.</w:t>
            </w:r>
          </w:p>
        </w:tc>
        <w:tc>
          <w:tcPr>
            <w:tcW w:type="dxa" w:w="1872"/>
            <w:vAlign w:val="center"/>
            <w:tcMar>
              <w:top w:w="80" w:type="dxa"/>
              <w:start w:w="120" w:type="dxa"/>
              <w:bottom w:w="80" w:type="dxa"/>
              <w:end w:w="120" w:type="dxa"/>
            </w:tcMar>
          </w:tcPr>
          <w:p>
            <w:pPr>
              <w:spacing w:before="0" w:after="40" w:line="252" w:lineRule="auto"/>
            </w:pPr>
            <w:r>
              <w:rPr>
                <w:rFonts w:ascii="Calibri" w:hAnsi="Calibri"/>
                <w:b w:val="0"/>
                <w:color w:val="161B22"/>
                <w:sz w:val="16"/>
              </w:rPr>
              <w:t>customer, ticketId, responseTime</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payment-received</w:t>
            </w:r>
          </w:p>
        </w:tc>
        <w:tc>
          <w:tcPr>
            <w:tcW w:type="dxa" w:w="5544"/>
            <w:vAlign w:val="center"/>
            <w:tcMar>
              <w:top w:w="80" w:type="dxa"/>
              <w:start w:w="120" w:type="dxa"/>
              <w:bottom w:w="80" w:type="dxa"/>
              <w:end w:w="120" w:type="dxa"/>
            </w:tcMar>
          </w:tcPr>
          <w:p>
            <w:pPr>
              <w:spacing w:before="0" w:after="40" w:line="252" w:lineRule="auto"/>
            </w:pPr>
            <w:r>
              <w:rPr>
                <w:rFonts w:ascii="Calibri" w:hAnsi="Calibri"/>
                <w:b w:val="0"/>
                <w:color w:val="161B22"/>
                <w:sz w:val="16"/>
              </w:rPr>
              <w:t>Hi {{customer}}, payment {{paymentId}} for {{amount}} was received. Receipt: {{receiptUrl}}</w:t>
            </w:r>
          </w:p>
        </w:tc>
        <w:tc>
          <w:tcPr>
            <w:tcW w:type="dxa" w:w="1872"/>
            <w:vAlign w:val="center"/>
            <w:tcMar>
              <w:top w:w="80" w:type="dxa"/>
              <w:start w:w="120" w:type="dxa"/>
              <w:bottom w:w="80" w:type="dxa"/>
              <w:end w:w="120" w:type="dxa"/>
            </w:tcMar>
          </w:tcPr>
          <w:p>
            <w:pPr>
              <w:spacing w:before="0" w:after="40" w:line="252" w:lineRule="auto"/>
            </w:pPr>
            <w:r>
              <w:rPr>
                <w:rFonts w:ascii="Calibri" w:hAnsi="Calibri"/>
                <w:b w:val="0"/>
                <w:color w:val="161B22"/>
                <w:sz w:val="16"/>
              </w:rPr>
              <w:t>customer, paymentId, amount, receiptUrl</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otp-code</w:t>
            </w:r>
          </w:p>
        </w:tc>
        <w:tc>
          <w:tcPr>
            <w:tcW w:type="dxa" w:w="5544"/>
            <w:vAlign w:val="center"/>
            <w:tcMar>
              <w:top w:w="80" w:type="dxa"/>
              <w:start w:w="120" w:type="dxa"/>
              <w:bottom w:w="80" w:type="dxa"/>
              <w:end w:w="120" w:type="dxa"/>
            </w:tcMar>
          </w:tcPr>
          <w:p>
            <w:pPr>
              <w:spacing w:before="0" w:after="40" w:line="252" w:lineRule="auto"/>
            </w:pPr>
            <w:r>
              <w:rPr>
                <w:rFonts w:ascii="Calibri" w:hAnsi="Calibri"/>
                <w:b w:val="0"/>
                <w:color w:val="161B22"/>
                <w:sz w:val="16"/>
              </w:rPr>
              <w:t>Your verification code is {{code}}. It expires in {{minutes}} minutes. Do not share it.</w:t>
            </w:r>
          </w:p>
        </w:tc>
        <w:tc>
          <w:tcPr>
            <w:tcW w:type="dxa" w:w="1872"/>
            <w:vAlign w:val="center"/>
            <w:tcMar>
              <w:top w:w="80" w:type="dxa"/>
              <w:start w:w="120" w:type="dxa"/>
              <w:bottom w:w="80" w:type="dxa"/>
              <w:end w:w="120" w:type="dxa"/>
            </w:tcMar>
          </w:tcPr>
          <w:p>
            <w:pPr>
              <w:spacing w:before="0" w:after="40" w:line="252" w:lineRule="auto"/>
            </w:pPr>
            <w:r>
              <w:rPr>
                <w:rFonts w:ascii="Calibri" w:hAnsi="Calibri"/>
                <w:b w:val="0"/>
                <w:color w:val="161B22"/>
                <w:sz w:val="16"/>
              </w:rPr>
              <w:t>code, minutes</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61B22"/>
                <w:sz w:val="16"/>
              </w:rPr>
              <w:t>opt-out-confirmed</w:t>
            </w:r>
          </w:p>
        </w:tc>
        <w:tc>
          <w:tcPr>
            <w:tcW w:type="dxa" w:w="5544"/>
            <w:vAlign w:val="center"/>
            <w:tcMar>
              <w:top w:w="80" w:type="dxa"/>
              <w:start w:w="120" w:type="dxa"/>
              <w:bottom w:w="80" w:type="dxa"/>
              <w:end w:w="120" w:type="dxa"/>
            </w:tcMar>
          </w:tcPr>
          <w:p>
            <w:pPr>
              <w:spacing w:before="0" w:after="40" w:line="252" w:lineRule="auto"/>
            </w:pPr>
            <w:r>
              <w:rPr>
                <w:rFonts w:ascii="Calibri" w:hAnsi="Calibri"/>
                <w:b w:val="0"/>
                <w:color w:val="161B22"/>
                <w:sz w:val="16"/>
              </w:rPr>
              <w:t>You have been unsubscribed from {{category}} messages. Reply START if you want to subscribe again.</w:t>
            </w:r>
          </w:p>
        </w:tc>
        <w:tc>
          <w:tcPr>
            <w:tcW w:type="dxa" w:w="1872"/>
            <w:vAlign w:val="center"/>
            <w:tcMar>
              <w:top w:w="80" w:type="dxa"/>
              <w:start w:w="120" w:type="dxa"/>
              <w:bottom w:w="80" w:type="dxa"/>
              <w:end w:w="120" w:type="dxa"/>
            </w:tcMar>
          </w:tcPr>
          <w:p>
            <w:pPr>
              <w:spacing w:before="0" w:after="40" w:line="252" w:lineRule="auto"/>
            </w:pPr>
            <w:r>
              <w:rPr>
                <w:rFonts w:ascii="Calibri" w:hAnsi="Calibri"/>
                <w:b w:val="0"/>
                <w:color w:val="161B22"/>
                <w:sz w:val="16"/>
              </w:rPr>
              <w:t>category</w:t>
            </w:r>
          </w:p>
        </w:tc>
      </w:tr>
    </w:tbl>
    <w:p>
      <w:pPr>
        <w:spacing w:after="0"/>
      </w:pPr>
    </w:p>
    <w:p>
      <w:pPr>
        <w:pStyle w:val="Heading2"/>
        <w:keepNext/>
        <w:pageBreakBefore w:val="0"/>
      </w:pPr>
      <w:r>
        <w:t>Create and send a local template</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7F8FA"/>
            <w:tcMar>
              <w:top w:w="120" w:type="dxa"/>
              <w:start w:w="120" w:type="dxa"/>
              <w:bottom w:w="120" w:type="dxa"/>
              <w:end w:w="120" w:type="dxa"/>
            </w:tcMar>
          </w:tcPr>
          <w:p>
            <w:pPr>
              <w:spacing w:after="0" w:line="240" w:lineRule="auto"/>
            </w:pPr>
            <w:r>
              <w:rPr>
                <w:rFonts w:ascii="Consolas" w:hAnsi="Consolas"/>
                <w:color w:val="161B22"/>
                <w:sz w:val="17"/>
              </w:rPr>
              <w:t># Create</w:t>
            </w:r>
            <w:r>
              <w:br/>
            </w:r>
            <w:r>
              <w:rPr>
                <w:rFonts w:ascii="Consolas" w:hAnsi="Consolas"/>
                <w:color w:val="161B22"/>
                <w:sz w:val="17"/>
              </w:rPr>
              <w:t>curl.exe -X POST http://localhost:2785/api/sessions/SESSION_ID/templates `</w:t>
            </w:r>
            <w:r>
              <w:br/>
            </w:r>
            <w:r>
              <w:rPr>
                <w:rFonts w:ascii="Consolas" w:hAnsi="Consolas"/>
                <w:color w:val="161B22"/>
                <w:sz w:val="17"/>
              </w:rPr>
              <w:t xml:space="preserve">  -H "Content-Type: application/json" -H "X-API-Key: YOUR_API_KEY" `</w:t>
            </w:r>
            <w:r>
              <w:br/>
            </w:r>
            <w:r>
              <w:rPr>
                <w:rFonts w:ascii="Consolas" w:hAnsi="Consolas"/>
                <w:color w:val="161B22"/>
                <w:sz w:val="17"/>
              </w:rPr>
              <w:t xml:space="preserve">  -d '{"name":"order-confirmation","body":"Hi {{customer}}, we received order {{orderId}}.","footer":"Reply STOP to unsubscribe."}'</w:t>
            </w:r>
            <w:r>
              <w:br/>
            </w:r>
            <w:r>
              <w:rPr>
                <w:rFonts w:ascii="Consolas" w:hAnsi="Consolas"/>
                <w:color w:val="161B22"/>
                <w:sz w:val="17"/>
              </w:rPr>
            </w:r>
            <w:r>
              <w:br/>
            </w:r>
            <w:r>
              <w:rPr>
                <w:rFonts w:ascii="Consolas" w:hAnsi="Consolas"/>
                <w:color w:val="161B22"/>
                <w:sz w:val="17"/>
              </w:rPr>
              <w:t># Render and send</w:t>
            </w:r>
            <w:r>
              <w:br/>
            </w:r>
            <w:r>
              <w:rPr>
                <w:rFonts w:ascii="Consolas" w:hAnsi="Consolas"/>
                <w:color w:val="161B22"/>
                <w:sz w:val="17"/>
              </w:rPr>
              <w:t>curl.exe -X POST http://localhost:2785/api/sessions/SESSION_ID/messages/send-template `</w:t>
            </w:r>
            <w:r>
              <w:br/>
            </w:r>
            <w:r>
              <w:rPr>
                <w:rFonts w:ascii="Consolas" w:hAnsi="Consolas"/>
                <w:color w:val="161B22"/>
                <w:sz w:val="17"/>
              </w:rPr>
              <w:t xml:space="preserve">  -H "Content-Type: application/json" -H "X-API-Key: YOUR_API_KEY" `</w:t>
            </w:r>
            <w:r>
              <w:br/>
            </w:r>
            <w:r>
              <w:rPr>
                <w:rFonts w:ascii="Consolas" w:hAnsi="Consolas"/>
                <w:color w:val="161B22"/>
                <w:sz w:val="17"/>
              </w:rPr>
              <w:t xml:space="preserve">  -d '{"chatId":"254700000000@c.us","templateName":"order-confirmation","variables":{"customer":"Amina","orderId":"SO-1042"}}'</w:t>
            </w:r>
          </w:p>
        </w:tc>
      </w:tr>
    </w:tbl>
    <w:p>
      <w:pPr>
        <w:spacing w:after="0"/>
      </w:pPr>
    </w:p>
    <w:p>
      <w:pPr>
        <w:pStyle w:val="Heading2"/>
        <w:keepNext/>
        <w:pageBreakBefore/>
      </w:pPr>
      <w:r>
        <w:t>Template rules</w:t>
      </w:r>
    </w:p>
    <w:p>
      <w:pPr>
        <w:spacing w:after="80" w:line="300" w:lineRule="auto"/>
        <w:numPr>
          <w:ilvl w:val="0"/>
          <w:numId w:val="17"/>
        </w:numPr>
      </w:pPr>
      <w:r>
        <w:rPr>
          <w:rFonts w:ascii="Calibri" w:hAnsi="Calibri"/>
          <w:color w:val="161B22"/>
          <w:sz w:val="22"/>
        </w:rPr>
        <w:t>Use a unique name per session. Name limit is 100 characters; body 4,096; header/footer 1,024 each.</w:t>
      </w:r>
    </w:p>
    <w:p>
      <w:pPr>
        <w:spacing w:after="80" w:line="300" w:lineRule="auto"/>
        <w:numPr>
          <w:ilvl w:val="0"/>
          <w:numId w:val="17"/>
        </w:numPr>
      </w:pPr>
      <w:r>
        <w:rPr>
          <w:rFonts w:ascii="Calibri" w:hAnsi="Calibri"/>
          <w:color w:val="161B22"/>
          <w:sz w:val="22"/>
        </w:rPr>
        <w:t>Never place passwords, full payment-card details, national IDs or unnecessary sensitive data in templates.</w:t>
      </w:r>
    </w:p>
    <w:p>
      <w:pPr>
        <w:spacing w:after="80" w:line="300" w:lineRule="auto"/>
        <w:numPr>
          <w:ilvl w:val="0"/>
          <w:numId w:val="17"/>
        </w:numPr>
      </w:pPr>
      <w:r>
        <w:rPr>
          <w:rFonts w:ascii="Calibri" w:hAnsi="Calibri"/>
          <w:color w:val="161B22"/>
          <w:sz w:val="22"/>
        </w:rPr>
        <w:t>Validate every variable and URL before sending. Treat user-controlled template variables as untrusted input.</w:t>
      </w:r>
    </w:p>
    <w:p>
      <w:pPr>
        <w:spacing w:after="80" w:line="300" w:lineRule="auto"/>
        <w:numPr>
          <w:ilvl w:val="0"/>
          <w:numId w:val="17"/>
        </w:numPr>
      </w:pPr>
      <w:r>
        <w:rPr>
          <w:rFonts w:ascii="Calibri" w:hAnsi="Calibri"/>
          <w:color w:val="161B22"/>
          <w:sz w:val="22"/>
        </w:rPr>
        <w:t>Add a human escalation path and a clear opt-out for promotional or recurring traffic.</w:t>
      </w:r>
    </w:p>
    <w:p>
      <w:pPr>
        <w:spacing w:after="80" w:line="300" w:lineRule="auto"/>
        <w:numPr>
          <w:ilvl w:val="0"/>
          <w:numId w:val="17"/>
        </w:numPr>
      </w:pPr>
      <w:r>
        <w:rPr>
          <w:rFonts w:ascii="Calibri" w:hAnsi="Calibri"/>
          <w:color w:val="161B22"/>
          <w:sz w:val="22"/>
        </w:rPr>
        <w:t>Do not use the OTP template as the only authentication channel on this unofficial gateway; keep a fallback.</w:t>
      </w:r>
    </w:p>
    <w:p>
      <w:pPr>
        <w:pageBreakBefore/>
        <w:spacing w:before="0" w:after="0" w:line="240" w:lineRule="auto"/>
      </w:pPr>
      <w:r>
        <w:rPr>
          <w:rFonts w:ascii="Calibri" w:hAnsi="Calibri"/>
          <w:color w:val="FFFFFF"/>
          <w:sz w:val="2"/>
        </w:rPr>
        <w:t>​</w:t>
      </w:r>
    </w:p>
    <w:p>
      <w:pPr>
        <w:pStyle w:val="Heading1"/>
        <w:keepNext/>
      </w:pPr>
      <w:r>
        <w:t>13. Operations and upgrades</w:t>
      </w:r>
    </w:p>
    <w:p>
      <w:pPr>
        <w:pStyle w:val="Heading2"/>
        <w:keepNext/>
        <w:pageBreakBefore w:val="0"/>
      </w:pPr>
      <w:r>
        <w:t>Daily checks</w:t>
      </w:r>
    </w:p>
    <w:p>
      <w:pPr>
        <w:spacing w:after="80" w:line="300" w:lineRule="auto"/>
        <w:numPr>
          <w:ilvl w:val="0"/>
          <w:numId w:val="10"/>
        </w:numPr>
      </w:pPr>
      <w:r>
        <w:rPr>
          <w:rFonts w:ascii="Calibri" w:hAnsi="Calibri"/>
          <w:color w:val="161B22"/>
          <w:sz w:val="22"/>
        </w:rPr>
        <w:t>All expected sessions are READY; investigate reconnect loops or restriction events immediately.</w:t>
      </w:r>
    </w:p>
    <w:p>
      <w:pPr>
        <w:spacing w:after="80" w:line="300" w:lineRule="auto"/>
        <w:numPr>
          <w:ilvl w:val="0"/>
          <w:numId w:val="10"/>
        </w:numPr>
      </w:pPr>
      <w:r>
        <w:rPr>
          <w:rFonts w:ascii="Calibri" w:hAnsi="Calibri"/>
          <w:color w:val="161B22"/>
          <w:sz w:val="22"/>
        </w:rPr>
        <w:t>Send failure and delivery/ack rates are stable; no unexpected volume spike or cold-contact pattern.</w:t>
      </w:r>
    </w:p>
    <w:p>
      <w:pPr>
        <w:spacing w:after="80" w:line="300" w:lineRule="auto"/>
        <w:numPr>
          <w:ilvl w:val="0"/>
          <w:numId w:val="10"/>
        </w:numPr>
      </w:pPr>
      <w:r>
        <w:rPr>
          <w:rFonts w:ascii="Calibri" w:hAnsi="Calibri"/>
          <w:color w:val="161B22"/>
          <w:sz w:val="22"/>
        </w:rPr>
        <w:t>Webhook receiver latency, retries and dead-letter count are normal.</w:t>
      </w:r>
    </w:p>
    <w:p>
      <w:pPr>
        <w:spacing w:after="80" w:line="300" w:lineRule="auto"/>
        <w:numPr>
          <w:ilvl w:val="0"/>
          <w:numId w:val="10"/>
        </w:numPr>
      </w:pPr>
      <w:r>
        <w:rPr>
          <w:rFonts w:ascii="Calibri" w:hAnsi="Calibri"/>
          <w:color w:val="161B22"/>
          <w:sz w:val="22"/>
        </w:rPr>
        <w:t>Disk, database, Redis, object storage and container health are normal.</w:t>
      </w:r>
    </w:p>
    <w:p>
      <w:pPr>
        <w:spacing w:after="80" w:line="300" w:lineRule="auto"/>
        <w:numPr>
          <w:ilvl w:val="0"/>
          <w:numId w:val="10"/>
        </w:numPr>
      </w:pPr>
      <w:r>
        <w:rPr>
          <w:rFonts w:ascii="Calibri" w:hAnsi="Calibri"/>
          <w:color w:val="161B22"/>
          <w:sz w:val="22"/>
        </w:rPr>
        <w:t>Backups completed and the most recent restore test is within policy.</w:t>
      </w:r>
    </w:p>
    <w:p>
      <w:pPr>
        <w:pStyle w:val="Heading2"/>
        <w:keepNext/>
        <w:pageBreakBefore w:val="0"/>
      </w:pPr>
      <w:r>
        <w:t>Safe upgrade workflow for your local fork</w:t>
      </w:r>
    </w:p>
    <w:p>
      <w:pPr>
        <w:spacing w:after="80" w:line="300" w:lineRule="auto"/>
        <w:numPr>
          <w:ilvl w:val="0"/>
          <w:numId w:val="18"/>
        </w:numPr>
      </w:pPr>
      <w:r>
        <w:rPr>
          <w:rFonts w:ascii="Calibri" w:hAnsi="Calibri"/>
          <w:color w:val="161B22"/>
          <w:sz w:val="22"/>
        </w:rPr>
        <w:t>Commit or safely preserve your custom changes; never upgrade a dirty production checkout blindly.</w:t>
      </w:r>
    </w:p>
    <w:p>
      <w:pPr>
        <w:spacing w:after="80" w:line="300" w:lineRule="auto"/>
        <w:numPr>
          <w:ilvl w:val="0"/>
          <w:numId w:val="18"/>
        </w:numPr>
      </w:pPr>
      <w:r>
        <w:rPr>
          <w:rFonts w:ascii="Calibri" w:hAnsi="Calibri"/>
          <w:color w:val="161B22"/>
          <w:sz w:val="22"/>
        </w:rPr>
        <w:t>Fetch upstream and read CHANGELOG.md, SECURITY.md, migrations and engine capability changes.</w:t>
      </w:r>
    </w:p>
    <w:p>
      <w:pPr>
        <w:spacing w:after="80" w:line="300" w:lineRule="auto"/>
        <w:numPr>
          <w:ilvl w:val="0"/>
          <w:numId w:val="18"/>
        </w:numPr>
      </w:pPr>
      <w:r>
        <w:rPr>
          <w:rFonts w:ascii="Calibri" w:hAnsi="Calibri"/>
          <w:color w:val="161B22"/>
          <w:sz w:val="22"/>
        </w:rPr>
        <w:t>Merge/rebase on a dedicated codex/ or upgrade branch and resolve conflicts deliberately.</w:t>
      </w:r>
    </w:p>
    <w:p>
      <w:pPr>
        <w:spacing w:after="80" w:line="300" w:lineRule="auto"/>
        <w:numPr>
          <w:ilvl w:val="0"/>
          <w:numId w:val="18"/>
        </w:numPr>
      </w:pPr>
      <w:r>
        <w:rPr>
          <w:rFonts w:ascii="Calibri" w:hAnsi="Calibri"/>
          <w:color w:val="161B22"/>
          <w:sz w:val="22"/>
        </w:rPr>
        <w:t>Run npm ci, typecheck, lint, unit tests, dashboard tests, e2e tests and production build.</w:t>
      </w:r>
    </w:p>
    <w:p>
      <w:pPr>
        <w:spacing w:after="80" w:line="300" w:lineRule="auto"/>
        <w:numPr>
          <w:ilvl w:val="0"/>
          <w:numId w:val="18"/>
        </w:numPr>
      </w:pPr>
      <w:r>
        <w:rPr>
          <w:rFonts w:ascii="Calibri" w:hAnsi="Calibri"/>
          <w:color w:val="161B22"/>
          <w:sz w:val="22"/>
        </w:rPr>
        <w:t>Deploy to staging with a disposable WhatsApp number; test pairing, send/receive, webhooks, plugins, backup and restore.</w:t>
      </w:r>
    </w:p>
    <w:p>
      <w:pPr>
        <w:spacing w:after="80" w:line="300" w:lineRule="auto"/>
        <w:numPr>
          <w:ilvl w:val="0"/>
          <w:numId w:val="18"/>
        </w:numPr>
      </w:pPr>
      <w:r>
        <w:rPr>
          <w:rFonts w:ascii="Calibri" w:hAnsi="Calibri"/>
          <w:color w:val="161B22"/>
          <w:sz w:val="22"/>
        </w:rPr>
        <w:t>Back up production, deploy in a maintenance window, watch health/metrics/logs, and keep a rollback image and database plan.</w:t>
      </w:r>
    </w:p>
    <w:p>
      <w:pPr>
        <w:pStyle w:val="Heading2"/>
        <w:keepNext/>
        <w:pageBreakBefore/>
      </w:pPr>
      <w:r>
        <w:t>Failure response</w:t>
      </w:r>
    </w:p>
    <w:tbl>
      <w:tblPr>
        <w:tblStyle w:val="TableGrid"/>
        <w:tblW w:type="dxa" w:w="9360"/>
        <w:jc w:val="left"/>
        <w:tblLayout w:type="fixed"/>
        <w:tblLook w:firstColumn="1" w:firstRow="1" w:lastColumn="0" w:lastRow="0" w:noHBand="0" w:noVBand="1" w:val="04A0"/>
        <w:tblLayout w:type="fixed"/>
        <w:tblInd w:w="120" w:type="dxa"/>
      </w:tblPr>
      <w:tblGrid>
        <w:gridCol w:w="1800"/>
        <w:gridCol w:w="4608"/>
        <w:gridCol w:w="2952"/>
      </w:tblGrid>
      <w:tr>
        <w:trPr>
          <w:cantSplit/>
          <w:tblHeader w:val="true"/>
        </w:trPr>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6"/>
              </w:rPr>
              <w:t>Signal</w:t>
            </w:r>
          </w:p>
        </w:tc>
        <w:tc>
          <w:tcPr>
            <w:tcW w:type="dxa" w:w="4608"/>
            <w:vAlign w:val="center"/>
            <w:tcMar>
              <w:top w:w="80" w:type="dxa"/>
              <w:start w:w="120" w:type="dxa"/>
              <w:bottom w:w="80" w:type="dxa"/>
              <w:end w:w="120" w:type="dxa"/>
            </w:tcMar>
            <w:shd w:fill="E8EEF5"/>
          </w:tcPr>
          <w:p>
            <w:pPr>
              <w:spacing w:before="0" w:after="40" w:line="252" w:lineRule="auto"/>
            </w:pPr>
            <w:r>
              <w:rPr>
                <w:rFonts w:ascii="Calibri" w:hAnsi="Calibri"/>
                <w:b/>
                <w:color w:val="0B2545"/>
                <w:sz w:val="16"/>
              </w:rPr>
              <w:t>Immediate action</w:t>
            </w:r>
          </w:p>
        </w:tc>
        <w:tc>
          <w:tcPr>
            <w:tcW w:type="dxa" w:w="2952"/>
            <w:vAlign w:val="center"/>
            <w:tcMar>
              <w:top w:w="80" w:type="dxa"/>
              <w:start w:w="120" w:type="dxa"/>
              <w:bottom w:w="80" w:type="dxa"/>
              <w:end w:w="120" w:type="dxa"/>
            </w:tcMar>
            <w:shd w:fill="E8EEF5"/>
          </w:tcPr>
          <w:p>
            <w:pPr>
              <w:spacing w:before="0" w:after="40" w:line="252" w:lineRule="auto"/>
            </w:pPr>
            <w:r>
              <w:rPr>
                <w:rFonts w:ascii="Calibri" w:hAnsi="Calibri"/>
                <w:b/>
                <w:color w:val="0B2545"/>
                <w:sz w:val="16"/>
              </w:rPr>
              <w:t>Do not</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Restriction/ban warning</w:t>
            </w:r>
          </w:p>
        </w:tc>
        <w:tc>
          <w:tcPr>
            <w:tcW w:type="dxa" w:w="4608"/>
            <w:vAlign w:val="center"/>
            <w:tcMar>
              <w:top w:w="80" w:type="dxa"/>
              <w:start w:w="120" w:type="dxa"/>
              <w:bottom w:w="80" w:type="dxa"/>
              <w:end w:w="120" w:type="dxa"/>
            </w:tcMar>
          </w:tcPr>
          <w:p>
            <w:pPr>
              <w:spacing w:before="0" w:after="40" w:line="252" w:lineRule="auto"/>
            </w:pPr>
            <w:r>
              <w:rPr>
                <w:rFonts w:ascii="Calibri" w:hAnsi="Calibri"/>
                <w:b w:val="0"/>
                <w:color w:val="161B22"/>
                <w:sz w:val="16"/>
              </w:rPr>
              <w:t>Stop outbound automation; preserve logs; use WhatsApp appeal path; notify affected customer</w:t>
            </w:r>
          </w:p>
        </w:tc>
        <w:tc>
          <w:tcPr>
            <w:tcW w:type="dxa" w:w="2952"/>
            <w:vAlign w:val="center"/>
            <w:tcMar>
              <w:top w:w="80" w:type="dxa"/>
              <w:start w:w="120" w:type="dxa"/>
              <w:bottom w:w="80" w:type="dxa"/>
              <w:end w:w="120" w:type="dxa"/>
            </w:tcMar>
          </w:tcPr>
          <w:p>
            <w:pPr>
              <w:spacing w:before="0" w:after="40" w:line="252" w:lineRule="auto"/>
            </w:pPr>
            <w:r>
              <w:rPr>
                <w:rFonts w:ascii="Calibri" w:hAnsi="Calibri"/>
                <w:b w:val="0"/>
                <w:color w:val="161B22"/>
                <w:sz w:val="16"/>
              </w:rPr>
              <w:t>Keep retrying or rotate proxies to evade enforcement</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High send failures</w:t>
            </w:r>
          </w:p>
        </w:tc>
        <w:tc>
          <w:tcPr>
            <w:tcW w:type="dxa" w:w="4608"/>
            <w:vAlign w:val="center"/>
            <w:tcMar>
              <w:top w:w="80" w:type="dxa"/>
              <w:start w:w="120" w:type="dxa"/>
              <w:bottom w:w="80" w:type="dxa"/>
              <w:end w:w="120" w:type="dxa"/>
            </w:tcMar>
          </w:tcPr>
          <w:p>
            <w:pPr>
              <w:spacing w:before="0" w:after="40" w:line="252" w:lineRule="auto"/>
            </w:pPr>
            <w:r>
              <w:rPr>
                <w:rFonts w:ascii="Calibri" w:hAnsi="Calibri"/>
                <w:b w:val="0"/>
                <w:color w:val="161B22"/>
                <w:sz w:val="16"/>
              </w:rPr>
              <w:t>Open the pacing breaker; halt batches; verify session, recipient format and engine health</w:t>
            </w:r>
          </w:p>
        </w:tc>
        <w:tc>
          <w:tcPr>
            <w:tcW w:type="dxa" w:w="2952"/>
            <w:vAlign w:val="center"/>
            <w:tcMar>
              <w:top w:w="80" w:type="dxa"/>
              <w:start w:w="120" w:type="dxa"/>
              <w:bottom w:w="80" w:type="dxa"/>
              <w:end w:w="120" w:type="dxa"/>
            </w:tcMar>
          </w:tcPr>
          <w:p>
            <w:pPr>
              <w:spacing w:before="0" w:after="40" w:line="252" w:lineRule="auto"/>
            </w:pPr>
            <w:r>
              <w:rPr>
                <w:rFonts w:ascii="Calibri" w:hAnsi="Calibri"/>
                <w:b w:val="0"/>
                <w:color w:val="161B22"/>
                <w:sz w:val="16"/>
              </w:rPr>
              <w:t>Treat every 429 as a transient delivery failure</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Webhook backlog</w:t>
            </w:r>
          </w:p>
        </w:tc>
        <w:tc>
          <w:tcPr>
            <w:tcW w:type="dxa" w:w="4608"/>
            <w:vAlign w:val="center"/>
            <w:tcMar>
              <w:top w:w="80" w:type="dxa"/>
              <w:start w:w="120" w:type="dxa"/>
              <w:bottom w:w="80" w:type="dxa"/>
              <w:end w:w="120" w:type="dxa"/>
            </w:tcMar>
          </w:tcPr>
          <w:p>
            <w:pPr>
              <w:spacing w:before="0" w:after="40" w:line="252" w:lineRule="auto"/>
            </w:pPr>
            <w:r>
              <w:rPr>
                <w:rFonts w:ascii="Calibri" w:hAnsi="Calibri"/>
                <w:b w:val="0"/>
                <w:color w:val="161B22"/>
                <w:sz w:val="16"/>
              </w:rPr>
              <w:t>Pause dependent workflows; restore receiver; verify idempotency; redrive gradually</w:t>
            </w:r>
          </w:p>
        </w:tc>
        <w:tc>
          <w:tcPr>
            <w:tcW w:type="dxa" w:w="2952"/>
            <w:vAlign w:val="center"/>
            <w:tcMar>
              <w:top w:w="80" w:type="dxa"/>
              <w:start w:w="120" w:type="dxa"/>
              <w:bottom w:w="80" w:type="dxa"/>
              <w:end w:w="120" w:type="dxa"/>
            </w:tcMar>
          </w:tcPr>
          <w:p>
            <w:pPr>
              <w:spacing w:before="0" w:after="40" w:line="252" w:lineRule="auto"/>
            </w:pPr>
            <w:r>
              <w:rPr>
                <w:rFonts w:ascii="Calibri" w:hAnsi="Calibri"/>
                <w:b w:val="0"/>
                <w:color w:val="161B22"/>
                <w:sz w:val="16"/>
              </w:rPr>
              <w:t>Redrive all failures into a non-idempotent receiver</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Credential exposure</w:t>
            </w:r>
          </w:p>
        </w:tc>
        <w:tc>
          <w:tcPr>
            <w:tcW w:type="dxa" w:w="4608"/>
            <w:vAlign w:val="center"/>
            <w:tcMar>
              <w:top w:w="80" w:type="dxa"/>
              <w:start w:w="120" w:type="dxa"/>
              <w:bottom w:w="80" w:type="dxa"/>
              <w:end w:w="120" w:type="dxa"/>
            </w:tcMar>
          </w:tcPr>
          <w:p>
            <w:pPr>
              <w:spacing w:before="0" w:after="40" w:line="252" w:lineRule="auto"/>
            </w:pPr>
            <w:r>
              <w:rPr>
                <w:rFonts w:ascii="Calibri" w:hAnsi="Calibri"/>
                <w:b w:val="0"/>
                <w:color w:val="161B22"/>
                <w:sz w:val="16"/>
              </w:rPr>
              <w:t>Revoke/rotate API keys, webhook secrets and integrations; review audit and access logs</w:t>
            </w:r>
          </w:p>
        </w:tc>
        <w:tc>
          <w:tcPr>
            <w:tcW w:type="dxa" w:w="2952"/>
            <w:vAlign w:val="center"/>
            <w:tcMar>
              <w:top w:w="80" w:type="dxa"/>
              <w:start w:w="120" w:type="dxa"/>
              <w:bottom w:w="80" w:type="dxa"/>
              <w:end w:w="120" w:type="dxa"/>
            </w:tcMar>
          </w:tcPr>
          <w:p>
            <w:pPr>
              <w:spacing w:before="0" w:after="40" w:line="252" w:lineRule="auto"/>
            </w:pPr>
            <w:r>
              <w:rPr>
                <w:rFonts w:ascii="Calibri" w:hAnsi="Calibri"/>
                <w:b w:val="0"/>
                <w:color w:val="161B22"/>
                <w:sz w:val="16"/>
              </w:rPr>
              <w:t>Assume deleting a log line removes the risk</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61B22"/>
                <w:sz w:val="16"/>
              </w:rPr>
              <w:t>Database/storage failure</w:t>
            </w:r>
          </w:p>
        </w:tc>
        <w:tc>
          <w:tcPr>
            <w:tcW w:type="dxa" w:w="4608"/>
            <w:vAlign w:val="center"/>
            <w:tcMar>
              <w:top w:w="80" w:type="dxa"/>
              <w:start w:w="120" w:type="dxa"/>
              <w:bottom w:w="80" w:type="dxa"/>
              <w:end w:w="120" w:type="dxa"/>
            </w:tcMar>
          </w:tcPr>
          <w:p>
            <w:pPr>
              <w:spacing w:before="0" w:after="40" w:line="252" w:lineRule="auto"/>
            </w:pPr>
            <w:r>
              <w:rPr>
                <w:rFonts w:ascii="Calibri" w:hAnsi="Calibri"/>
                <w:b w:val="0"/>
                <w:color w:val="161B22"/>
                <w:sz w:val="16"/>
              </w:rPr>
              <w:t>Stop writes if consistency is uncertain; restore tested backup; reconcile sessions and batches</w:t>
            </w:r>
          </w:p>
        </w:tc>
        <w:tc>
          <w:tcPr>
            <w:tcW w:type="dxa" w:w="2952"/>
            <w:vAlign w:val="center"/>
            <w:tcMar>
              <w:top w:w="80" w:type="dxa"/>
              <w:start w:w="120" w:type="dxa"/>
              <w:bottom w:w="80" w:type="dxa"/>
              <w:end w:w="120" w:type="dxa"/>
            </w:tcMar>
          </w:tcPr>
          <w:p>
            <w:pPr>
              <w:spacing w:before="0" w:after="40" w:line="252" w:lineRule="auto"/>
            </w:pPr>
            <w:r>
              <w:rPr>
                <w:rFonts w:ascii="Calibri" w:hAnsi="Calibri"/>
                <w:b w:val="0"/>
                <w:color w:val="161B22"/>
                <w:sz w:val="16"/>
              </w:rPr>
              <w:t>Resume interrupted bulk batches automatically and risk duplicates</w:t>
            </w:r>
          </w:p>
        </w:tc>
      </w:tr>
    </w:tbl>
    <w:p>
      <w:pPr>
        <w:spacing w:after="0"/>
      </w:pPr>
    </w:p>
    <w:p>
      <w:pPr>
        <w:pageBreakBefore/>
        <w:spacing w:before="0" w:after="0" w:line="240" w:lineRule="auto"/>
      </w:pPr>
      <w:r>
        <w:rPr>
          <w:rFonts w:ascii="Calibri" w:hAnsi="Calibri"/>
          <w:color w:val="FFFFFF"/>
          <w:sz w:val="2"/>
        </w:rPr>
        <w:t>​</w:t>
      </w:r>
    </w:p>
    <w:p>
      <w:pPr>
        <w:pStyle w:val="Heading1"/>
        <w:keepNext/>
      </w:pPr>
      <w:r>
        <w:t>14. Go-live checklist</w:t>
      </w:r>
    </w:p>
    <w:p>
      <w:pPr>
        <w:spacing w:after="80" w:line="300" w:lineRule="auto"/>
        <w:numPr>
          <w:ilvl w:val="0"/>
          <w:numId w:val="19"/>
        </w:numPr>
      </w:pPr>
      <w:r>
        <w:rPr>
          <w:rFonts w:ascii="Calibri" w:hAnsi="Calibri"/>
          <w:color w:val="161B22"/>
          <w:sz w:val="22"/>
        </w:rPr>
        <w:t>Dedicated, non-critical WhatsApp number selected and warmed up.</w:t>
      </w:r>
    </w:p>
    <w:p>
      <w:pPr>
        <w:spacing w:after="80" w:line="300" w:lineRule="auto"/>
        <w:numPr>
          <w:ilvl w:val="0"/>
          <w:numId w:val="19"/>
        </w:numPr>
      </w:pPr>
      <w:r>
        <w:rPr>
          <w:rFonts w:ascii="Calibri" w:hAnsi="Calibri"/>
          <w:color w:val="161B22"/>
          <w:sz w:val="22"/>
        </w:rPr>
        <w:t>Recipient opt-in and opt-out evidence implemented.</w:t>
      </w:r>
    </w:p>
    <w:p>
      <w:pPr>
        <w:spacing w:after="80" w:line="300" w:lineRule="auto"/>
        <w:numPr>
          <w:ilvl w:val="0"/>
          <w:numId w:val="19"/>
        </w:numPr>
      </w:pPr>
      <w:r>
        <w:rPr>
          <w:rFonts w:ascii="Calibri" w:hAnsi="Calibri"/>
          <w:color w:val="161B22"/>
          <w:sz w:val="22"/>
        </w:rPr>
        <w:t>whatsapp-web.js/Baileys decision documented and required features tested.</w:t>
      </w:r>
    </w:p>
    <w:p>
      <w:pPr>
        <w:spacing w:after="80" w:line="300" w:lineRule="auto"/>
        <w:numPr>
          <w:ilvl w:val="0"/>
          <w:numId w:val="19"/>
        </w:numPr>
      </w:pPr>
      <w:r>
        <w:rPr>
          <w:rFonts w:ascii="Calibri" w:hAnsi="Calibri"/>
          <w:color w:val="161B22"/>
          <w:sz w:val="22"/>
        </w:rPr>
        <w:t>SEND_PACING_ENABLED=true and one queue per session enforced.</w:t>
      </w:r>
    </w:p>
    <w:p>
      <w:pPr>
        <w:spacing w:after="80" w:line="300" w:lineRule="auto"/>
        <w:numPr>
          <w:ilvl w:val="0"/>
          <w:numId w:val="19"/>
        </w:numPr>
      </w:pPr>
      <w:r>
        <w:rPr>
          <w:rFonts w:ascii="Calibri" w:hAnsi="Calibri"/>
          <w:color w:val="161B22"/>
          <w:sz w:val="22"/>
        </w:rPr>
        <w:t>Production API keys are least-privilege, session/IP scoped and rotated; development key disabled.</w:t>
      </w:r>
    </w:p>
    <w:p>
      <w:pPr>
        <w:spacing w:after="80" w:line="300" w:lineRule="auto"/>
        <w:numPr>
          <w:ilvl w:val="0"/>
          <w:numId w:val="19"/>
        </w:numPr>
      </w:pPr>
      <w:r>
        <w:rPr>
          <w:rFonts w:ascii="Calibri" w:hAnsi="Calibri"/>
          <w:color w:val="161B22"/>
          <w:sz w:val="22"/>
        </w:rPr>
        <w:t>HTTPS, firewall, strict CORS, body limit and request throttles configured.</w:t>
      </w:r>
    </w:p>
    <w:p>
      <w:pPr>
        <w:spacing w:after="80" w:line="300" w:lineRule="auto"/>
        <w:numPr>
          <w:ilvl w:val="0"/>
          <w:numId w:val="19"/>
        </w:numPr>
      </w:pPr>
      <w:r>
        <w:rPr>
          <w:rFonts w:ascii="Calibri" w:hAnsi="Calibri"/>
          <w:color w:val="161B22"/>
          <w:sz w:val="22"/>
        </w:rPr>
        <w:t>Swagger disabled unless deliberately required.</w:t>
      </w:r>
    </w:p>
    <w:p>
      <w:pPr>
        <w:spacing w:after="80" w:line="300" w:lineRule="auto"/>
        <w:numPr>
          <w:ilvl w:val="0"/>
          <w:numId w:val="19"/>
        </w:numPr>
      </w:pPr>
      <w:r>
        <w:rPr>
          <w:rFonts w:ascii="Calibri" w:hAnsi="Calibri"/>
          <w:color w:val="161B22"/>
          <w:sz w:val="22"/>
        </w:rPr>
        <w:t>Signed webhook verified against the exact raw body; receiver is idempotent.</w:t>
      </w:r>
    </w:p>
    <w:p>
      <w:pPr>
        <w:spacing w:after="80" w:line="300" w:lineRule="auto"/>
        <w:numPr>
          <w:ilvl w:val="0"/>
          <w:numId w:val="19"/>
        </w:numPr>
      </w:pPr>
      <w:r>
        <w:rPr>
          <w:rFonts w:ascii="Calibri" w:hAnsi="Calibri"/>
          <w:color w:val="161B22"/>
          <w:sz w:val="22"/>
        </w:rPr>
        <w:t>Plugins reviewed, hash-pinned and tested; untrusted code isolated outside the process.</w:t>
      </w:r>
    </w:p>
    <w:p>
      <w:pPr>
        <w:spacing w:after="80" w:line="300" w:lineRule="auto"/>
        <w:numPr>
          <w:ilvl w:val="0"/>
          <w:numId w:val="19"/>
        </w:numPr>
      </w:pPr>
      <w:r>
        <w:rPr>
          <w:rFonts w:ascii="Calibri" w:hAnsi="Calibri"/>
          <w:color w:val="161B22"/>
          <w:sz w:val="22"/>
        </w:rPr>
        <w:t>PostgreSQL/Redis/storage credentials private; backup and restore tested.</w:t>
      </w:r>
    </w:p>
    <w:p>
      <w:pPr>
        <w:spacing w:after="80" w:line="300" w:lineRule="auto"/>
        <w:numPr>
          <w:ilvl w:val="0"/>
          <w:numId w:val="19"/>
        </w:numPr>
      </w:pPr>
      <w:r>
        <w:rPr>
          <w:rFonts w:ascii="Calibri" w:hAnsi="Calibri"/>
          <w:color w:val="161B22"/>
          <w:sz w:val="22"/>
        </w:rPr>
        <w:t>Monitoring covers health, restrictions, failures, webhook backlog, auth failures and capacity.</w:t>
      </w:r>
    </w:p>
    <w:p>
      <w:pPr>
        <w:spacing w:after="80" w:line="300" w:lineRule="auto"/>
        <w:numPr>
          <w:ilvl w:val="0"/>
          <w:numId w:val="19"/>
        </w:numPr>
      </w:pPr>
      <w:r>
        <w:rPr>
          <w:rFonts w:ascii="Calibri" w:hAnsi="Calibri"/>
          <w:color w:val="161B22"/>
          <w:sz w:val="22"/>
        </w:rPr>
        <w:t>SaaS customers isolated; no shared-instance tenant claims without implemented tenant controls.</w:t>
      </w:r>
    </w:p>
    <w:p>
      <w:pPr>
        <w:spacing w:after="80" w:line="300" w:lineRule="auto"/>
        <w:numPr>
          <w:ilvl w:val="0"/>
          <w:numId w:val="19"/>
        </w:numPr>
      </w:pPr>
      <w:r>
        <w:rPr>
          <w:rFonts w:ascii="Calibri" w:hAnsi="Calibri"/>
          <w:color w:val="161B22"/>
          <w:sz w:val="22"/>
        </w:rPr>
        <w:t>Privacy policy, data retention/deletion and incident response approved for the operating jurisdiction.</w:t>
      </w:r>
    </w:p>
    <w:p>
      <w:pPr>
        <w:spacing w:after="80" w:line="300" w:lineRule="auto"/>
        <w:numPr>
          <w:ilvl w:val="0"/>
          <w:numId w:val="19"/>
        </w:numPr>
      </w:pPr>
      <w:r>
        <w:rPr>
          <w:rFonts w:ascii="Calibri" w:hAnsi="Calibri"/>
          <w:color w:val="161B22"/>
          <w:sz w:val="22"/>
        </w:rPr>
        <w:t>SMS/email/official-API fallback exists for critical workflows.</w:t>
      </w:r>
    </w:p>
    <w:p>
      <w:pPr>
        <w:spacing w:after="80" w:line="300" w:lineRule="auto"/>
        <w:numPr>
          <w:ilvl w:val="0"/>
          <w:numId w:val="19"/>
        </w:numPr>
      </w:pPr>
      <w:r>
        <w:rPr>
          <w:rFonts w:ascii="Calibri" w:hAnsi="Calibri"/>
          <w:color w:val="161B22"/>
          <w:sz w:val="22"/>
        </w:rPr>
        <w:t>Staging test and rollback drill completed.</w:t>
      </w:r>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FCE8E8"/>
            <w:tcMar>
              <w:top w:w="140" w:type="dxa"/>
              <w:start w:w="120" w:type="dxa"/>
              <w:bottom w:w="140" w:type="dxa"/>
              <w:end w:w="120" w:type="dxa"/>
            </w:tcMar>
          </w:tcPr>
          <w:p>
            <w:pPr>
              <w:spacing w:after="60"/>
            </w:pPr>
            <w:r>
              <w:rPr>
                <w:rFonts w:ascii="Calibri" w:hAnsi="Calibri"/>
                <w:b/>
                <w:color w:val="9B1C1C"/>
                <w:sz w:val="21"/>
              </w:rPr>
              <w:t>Launch gate</w:t>
            </w:r>
          </w:p>
          <w:p>
            <w:pPr>
              <w:spacing w:after="0" w:line="276" w:lineRule="auto"/>
            </w:pPr>
            <w:r>
              <w:rPr>
                <w:rFonts w:ascii="Calibri" w:hAnsi="Calibri"/>
                <w:color w:val="161B22"/>
                <w:sz w:val="20"/>
              </w:rPr>
              <w:t>If any P0 security item, consent control, tenant boundary, backup restore, or fallback path is missing, keep the deployment private and in testing.</w:t>
            </w:r>
          </w:p>
        </w:tc>
      </w:tr>
    </w:tbl>
    <w:p>
      <w:pPr>
        <w:spacing w:after="0"/>
      </w:pPr>
    </w:p>
    <w:p>
      <w:pPr>
        <w:pageBreakBefore/>
        <w:spacing w:before="0" w:after="0" w:line="240" w:lineRule="auto"/>
      </w:pPr>
      <w:r>
        <w:rPr>
          <w:rFonts w:ascii="Calibri" w:hAnsi="Calibri"/>
          <w:color w:val="FFFFFF"/>
          <w:sz w:val="2"/>
        </w:rPr>
        <w:t>​</w:t>
      </w:r>
    </w:p>
    <w:p>
      <w:pPr>
        <w:pStyle w:val="Heading1"/>
        <w:keepNext/>
      </w:pPr>
      <w:r>
        <w:t>15. Glossary and sources</w:t>
      </w:r>
    </w:p>
    <w:tbl>
      <w:tblPr>
        <w:tblStyle w:val="TableGrid"/>
        <w:tblW w:type="dxa" w:w="9360"/>
        <w:jc w:val="left"/>
        <w:tblLayout w:type="fixed"/>
        <w:tblLook w:firstColumn="1" w:firstRow="1" w:lastColumn="0" w:lastRow="0" w:noHBand="0" w:noVBand="1" w:val="04A0"/>
        <w:tblLayout w:type="fixed"/>
        <w:tblInd w:w="120" w:type="dxa"/>
      </w:tblPr>
      <w:tblGrid>
        <w:gridCol w:w="2232"/>
        <w:gridCol w:w="7128"/>
      </w:tblGrid>
      <w:tr>
        <w:trPr>
          <w:cantSplit/>
          <w:tblHeader w:val="true"/>
        </w:trPr>
        <w:tc>
          <w:tcPr>
            <w:tcW w:type="dxa" w:w="2232"/>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Term</w:t>
            </w:r>
          </w:p>
        </w:tc>
        <w:tc>
          <w:tcPr>
            <w:tcW w:type="dxa" w:w="7128"/>
            <w:vAlign w:val="center"/>
            <w:tcMar>
              <w:top w:w="80" w:type="dxa"/>
              <w:start w:w="120" w:type="dxa"/>
              <w:bottom w:w="80" w:type="dxa"/>
              <w:end w:w="120" w:type="dxa"/>
            </w:tcMar>
            <w:shd w:fill="E8EEF5"/>
          </w:tcPr>
          <w:p>
            <w:pPr>
              <w:spacing w:before="0" w:after="40" w:line="252" w:lineRule="auto"/>
            </w:pPr>
            <w:r>
              <w:rPr>
                <w:rFonts w:ascii="Calibri" w:hAnsi="Calibri"/>
                <w:b/>
                <w:color w:val="0B2545"/>
                <w:sz w:val="17"/>
              </w:rPr>
              <w:t>Meaning</w:t>
            </w:r>
          </w:p>
        </w:tc>
      </w:tr>
      <w:tr>
        <w:trPr>
          <w:cantSplit/>
        </w:trPr>
        <w:tc>
          <w:tcPr>
            <w:tcW w:type="dxa" w:w="2232"/>
            <w:vAlign w:val="center"/>
            <w:tcMar>
              <w:top w:w="80" w:type="dxa"/>
              <w:start w:w="120" w:type="dxa"/>
              <w:bottom w:w="80" w:type="dxa"/>
              <w:end w:w="120" w:type="dxa"/>
            </w:tcMar>
          </w:tcPr>
          <w:p>
            <w:pPr>
              <w:spacing w:before="0" w:after="40" w:line="252" w:lineRule="auto"/>
            </w:pPr>
            <w:r>
              <w:rPr>
                <w:rFonts w:ascii="Calibri" w:hAnsi="Calibri"/>
                <w:b w:val="0"/>
                <w:color w:val="161B22"/>
                <w:sz w:val="17"/>
              </w:rPr>
              <w:t>API key</w:t>
            </w:r>
          </w:p>
        </w:tc>
        <w:tc>
          <w:tcPr>
            <w:tcW w:type="dxa" w:w="7128"/>
            <w:vAlign w:val="center"/>
            <w:tcMar>
              <w:top w:w="80" w:type="dxa"/>
              <w:start w:w="120" w:type="dxa"/>
              <w:bottom w:w="80" w:type="dxa"/>
              <w:end w:w="120" w:type="dxa"/>
            </w:tcMar>
          </w:tcPr>
          <w:p>
            <w:pPr>
              <w:spacing w:before="0" w:after="40" w:line="252" w:lineRule="auto"/>
            </w:pPr>
            <w:r>
              <w:rPr>
                <w:rFonts w:ascii="Calibri" w:hAnsi="Calibri"/>
                <w:b w:val="0"/>
                <w:color w:val="161B22"/>
                <w:sz w:val="17"/>
              </w:rPr>
              <w:t>Secret credential used for dashboard and REST/MCP authentication.</w:t>
            </w:r>
          </w:p>
        </w:tc>
      </w:tr>
      <w:tr>
        <w:trPr>
          <w:cantSplit/>
        </w:trPr>
        <w:tc>
          <w:tcPr>
            <w:tcW w:type="dxa" w:w="2232"/>
            <w:vAlign w:val="center"/>
            <w:tcMar>
              <w:top w:w="80" w:type="dxa"/>
              <w:start w:w="120" w:type="dxa"/>
              <w:bottom w:w="80" w:type="dxa"/>
              <w:end w:w="120" w:type="dxa"/>
            </w:tcMar>
          </w:tcPr>
          <w:p>
            <w:pPr>
              <w:spacing w:before="0" w:after="40" w:line="252" w:lineRule="auto"/>
            </w:pPr>
            <w:r>
              <w:rPr>
                <w:rFonts w:ascii="Calibri" w:hAnsi="Calibri"/>
                <w:b w:val="0"/>
                <w:color w:val="161B22"/>
                <w:sz w:val="17"/>
              </w:rPr>
              <w:t>Session</w:t>
            </w:r>
          </w:p>
        </w:tc>
        <w:tc>
          <w:tcPr>
            <w:tcW w:type="dxa" w:w="7128"/>
            <w:vAlign w:val="center"/>
            <w:tcMar>
              <w:top w:w="80" w:type="dxa"/>
              <w:start w:w="120" w:type="dxa"/>
              <w:bottom w:w="80" w:type="dxa"/>
              <w:end w:w="120" w:type="dxa"/>
            </w:tcMar>
          </w:tcPr>
          <w:p>
            <w:pPr>
              <w:spacing w:before="0" w:after="40" w:line="252" w:lineRule="auto"/>
            </w:pPr>
            <w:r>
              <w:rPr>
                <w:rFonts w:ascii="Calibri" w:hAnsi="Calibri"/>
                <w:b w:val="0"/>
                <w:color w:val="161B22"/>
                <w:sz w:val="17"/>
              </w:rPr>
              <w:t>One linked WhatsApp account and its engine state.</w:t>
            </w:r>
          </w:p>
        </w:tc>
      </w:tr>
      <w:tr>
        <w:trPr>
          <w:cantSplit/>
        </w:trPr>
        <w:tc>
          <w:tcPr>
            <w:tcW w:type="dxa" w:w="2232"/>
            <w:vAlign w:val="center"/>
            <w:tcMar>
              <w:top w:w="80" w:type="dxa"/>
              <w:start w:w="120" w:type="dxa"/>
              <w:bottom w:w="80" w:type="dxa"/>
              <w:end w:w="120" w:type="dxa"/>
            </w:tcMar>
          </w:tcPr>
          <w:p>
            <w:pPr>
              <w:spacing w:before="0" w:after="40" w:line="252" w:lineRule="auto"/>
            </w:pPr>
            <w:r>
              <w:rPr>
                <w:rFonts w:ascii="Calibri" w:hAnsi="Calibri"/>
                <w:b w:val="0"/>
                <w:color w:val="161B22"/>
                <w:sz w:val="17"/>
              </w:rPr>
              <w:t>Engine</w:t>
            </w:r>
          </w:p>
        </w:tc>
        <w:tc>
          <w:tcPr>
            <w:tcW w:type="dxa" w:w="7128"/>
            <w:vAlign w:val="center"/>
            <w:tcMar>
              <w:top w:w="80" w:type="dxa"/>
              <w:start w:w="120" w:type="dxa"/>
              <w:bottom w:w="80" w:type="dxa"/>
              <w:end w:w="120" w:type="dxa"/>
            </w:tcMar>
          </w:tcPr>
          <w:p>
            <w:pPr>
              <w:spacing w:before="0" w:after="40" w:line="252" w:lineRule="auto"/>
            </w:pPr>
            <w:r>
              <w:rPr>
                <w:rFonts w:ascii="Calibri" w:hAnsi="Calibri"/>
                <w:b w:val="0"/>
                <w:color w:val="161B22"/>
                <w:sz w:val="17"/>
              </w:rPr>
              <w:t>The adapter that connects to WhatsApp: whatsapp-web.js or Baileys.</w:t>
            </w:r>
          </w:p>
        </w:tc>
      </w:tr>
      <w:tr>
        <w:trPr>
          <w:cantSplit/>
        </w:trPr>
        <w:tc>
          <w:tcPr>
            <w:tcW w:type="dxa" w:w="2232"/>
            <w:vAlign w:val="center"/>
            <w:tcMar>
              <w:top w:w="80" w:type="dxa"/>
              <w:start w:w="120" w:type="dxa"/>
              <w:bottom w:w="80" w:type="dxa"/>
              <w:end w:w="120" w:type="dxa"/>
            </w:tcMar>
          </w:tcPr>
          <w:p>
            <w:pPr>
              <w:spacing w:before="0" w:after="40" w:line="252" w:lineRule="auto"/>
            </w:pPr>
            <w:r>
              <w:rPr>
                <w:rFonts w:ascii="Calibri" w:hAnsi="Calibri"/>
                <w:b w:val="0"/>
                <w:color w:val="161B22"/>
                <w:sz w:val="17"/>
              </w:rPr>
              <w:t>Webhook</w:t>
            </w:r>
          </w:p>
        </w:tc>
        <w:tc>
          <w:tcPr>
            <w:tcW w:type="dxa" w:w="7128"/>
            <w:vAlign w:val="center"/>
            <w:tcMar>
              <w:top w:w="80" w:type="dxa"/>
              <w:start w:w="120" w:type="dxa"/>
              <w:bottom w:w="80" w:type="dxa"/>
              <w:end w:w="120" w:type="dxa"/>
            </w:tcMar>
          </w:tcPr>
          <w:p>
            <w:pPr>
              <w:spacing w:before="0" w:after="40" w:line="252" w:lineRule="auto"/>
            </w:pPr>
            <w:r>
              <w:rPr>
                <w:rFonts w:ascii="Calibri" w:hAnsi="Calibri"/>
                <w:b w:val="0"/>
                <w:color w:val="161B22"/>
                <w:sz w:val="17"/>
              </w:rPr>
              <w:t>Outbound JSON event callback from OpenWA to another server.</w:t>
            </w:r>
          </w:p>
        </w:tc>
      </w:tr>
      <w:tr>
        <w:trPr>
          <w:cantSplit/>
        </w:trPr>
        <w:tc>
          <w:tcPr>
            <w:tcW w:type="dxa" w:w="2232"/>
            <w:vAlign w:val="center"/>
            <w:tcMar>
              <w:top w:w="80" w:type="dxa"/>
              <w:start w:w="120" w:type="dxa"/>
              <w:bottom w:w="80" w:type="dxa"/>
              <w:end w:w="120" w:type="dxa"/>
            </w:tcMar>
          </w:tcPr>
          <w:p>
            <w:pPr>
              <w:spacing w:before="0" w:after="40" w:line="252" w:lineRule="auto"/>
            </w:pPr>
            <w:r>
              <w:rPr>
                <w:rFonts w:ascii="Calibri" w:hAnsi="Calibri"/>
                <w:b w:val="0"/>
                <w:color w:val="161B22"/>
                <w:sz w:val="17"/>
              </w:rPr>
              <w:t>Plugin</w:t>
            </w:r>
          </w:p>
        </w:tc>
        <w:tc>
          <w:tcPr>
            <w:tcW w:type="dxa" w:w="7128"/>
            <w:vAlign w:val="center"/>
            <w:tcMar>
              <w:top w:w="80" w:type="dxa"/>
              <w:start w:w="120" w:type="dxa"/>
              <w:bottom w:w="80" w:type="dxa"/>
              <w:end w:w="120" w:type="dxa"/>
            </w:tcMar>
          </w:tcPr>
          <w:p>
            <w:pPr>
              <w:spacing w:before="0" w:after="40" w:line="252" w:lineRule="auto"/>
            </w:pPr>
            <w:r>
              <w:rPr>
                <w:rFonts w:ascii="Calibri" w:hAnsi="Calibri"/>
                <w:b w:val="0"/>
                <w:color w:val="161B22"/>
                <w:sz w:val="17"/>
              </w:rPr>
              <w:t>Server-side code package extending OpenWA through hooks and capabilities.</w:t>
            </w:r>
          </w:p>
        </w:tc>
      </w:tr>
      <w:tr>
        <w:trPr>
          <w:cantSplit/>
        </w:trPr>
        <w:tc>
          <w:tcPr>
            <w:tcW w:type="dxa" w:w="2232"/>
            <w:vAlign w:val="center"/>
            <w:tcMar>
              <w:top w:w="80" w:type="dxa"/>
              <w:start w:w="120" w:type="dxa"/>
              <w:bottom w:w="80" w:type="dxa"/>
              <w:end w:w="120" w:type="dxa"/>
            </w:tcMar>
          </w:tcPr>
          <w:p>
            <w:pPr>
              <w:spacing w:before="0" w:after="40" w:line="252" w:lineRule="auto"/>
            </w:pPr>
            <w:r>
              <w:rPr>
                <w:rFonts w:ascii="Calibri" w:hAnsi="Calibri"/>
                <w:b w:val="0"/>
                <w:color w:val="161B22"/>
                <w:sz w:val="17"/>
              </w:rPr>
              <w:t>Integration ingress</w:t>
            </w:r>
          </w:p>
        </w:tc>
        <w:tc>
          <w:tcPr>
            <w:tcW w:type="dxa" w:w="7128"/>
            <w:vAlign w:val="center"/>
            <w:tcMar>
              <w:top w:w="80" w:type="dxa"/>
              <w:start w:w="120" w:type="dxa"/>
              <w:bottom w:w="80" w:type="dxa"/>
              <w:end w:w="120" w:type="dxa"/>
            </w:tcMar>
          </w:tcPr>
          <w:p>
            <w:pPr>
              <w:spacing w:before="0" w:after="40" w:line="252" w:lineRule="auto"/>
            </w:pPr>
            <w:r>
              <w:rPr>
                <w:rFonts w:ascii="Calibri" w:hAnsi="Calibri"/>
                <w:b w:val="0"/>
                <w:color w:val="161B22"/>
                <w:sz w:val="17"/>
              </w:rPr>
              <w:t>Inbound provider webhook routed by the OpenWA host to a declared plugin route.</w:t>
            </w:r>
          </w:p>
        </w:tc>
      </w:tr>
      <w:tr>
        <w:trPr>
          <w:cantSplit/>
        </w:trPr>
        <w:tc>
          <w:tcPr>
            <w:tcW w:type="dxa" w:w="2232"/>
            <w:vAlign w:val="center"/>
            <w:tcMar>
              <w:top w:w="80" w:type="dxa"/>
              <w:start w:w="120" w:type="dxa"/>
              <w:bottom w:w="80" w:type="dxa"/>
              <w:end w:w="120" w:type="dxa"/>
            </w:tcMar>
          </w:tcPr>
          <w:p>
            <w:pPr>
              <w:spacing w:before="0" w:after="40" w:line="252" w:lineRule="auto"/>
            </w:pPr>
            <w:r>
              <w:rPr>
                <w:rFonts w:ascii="Calibri" w:hAnsi="Calibri"/>
                <w:b w:val="0"/>
                <w:color w:val="161B22"/>
                <w:sz w:val="17"/>
              </w:rPr>
              <w:t>HMAC</w:t>
            </w:r>
          </w:p>
        </w:tc>
        <w:tc>
          <w:tcPr>
            <w:tcW w:type="dxa" w:w="7128"/>
            <w:vAlign w:val="center"/>
            <w:tcMar>
              <w:top w:w="80" w:type="dxa"/>
              <w:start w:w="120" w:type="dxa"/>
              <w:bottom w:w="80" w:type="dxa"/>
              <w:end w:w="120" w:type="dxa"/>
            </w:tcMar>
          </w:tcPr>
          <w:p>
            <w:pPr>
              <w:spacing w:before="0" w:after="40" w:line="252" w:lineRule="auto"/>
            </w:pPr>
            <w:r>
              <w:rPr>
                <w:rFonts w:ascii="Calibri" w:hAnsi="Calibri"/>
                <w:b w:val="0"/>
                <w:color w:val="161B22"/>
                <w:sz w:val="17"/>
              </w:rPr>
              <w:t>Keyed signature used to prove webhook body integrity and authenticity.</w:t>
            </w:r>
          </w:p>
        </w:tc>
      </w:tr>
      <w:tr>
        <w:trPr>
          <w:cantSplit/>
        </w:trPr>
        <w:tc>
          <w:tcPr>
            <w:tcW w:type="dxa" w:w="2232"/>
            <w:vAlign w:val="center"/>
            <w:tcMar>
              <w:top w:w="80" w:type="dxa"/>
              <w:start w:w="120" w:type="dxa"/>
              <w:bottom w:w="80" w:type="dxa"/>
              <w:end w:w="120" w:type="dxa"/>
            </w:tcMar>
          </w:tcPr>
          <w:p>
            <w:pPr>
              <w:spacing w:before="0" w:after="40" w:line="252" w:lineRule="auto"/>
            </w:pPr>
            <w:r>
              <w:rPr>
                <w:rFonts w:ascii="Calibri" w:hAnsi="Calibri"/>
                <w:b w:val="0"/>
                <w:color w:val="161B22"/>
                <w:sz w:val="17"/>
              </w:rPr>
              <w:t>Idempotency</w:t>
            </w:r>
          </w:p>
        </w:tc>
        <w:tc>
          <w:tcPr>
            <w:tcW w:type="dxa" w:w="7128"/>
            <w:vAlign w:val="center"/>
            <w:tcMar>
              <w:top w:w="80" w:type="dxa"/>
              <w:start w:w="120" w:type="dxa"/>
              <w:bottom w:w="80" w:type="dxa"/>
              <w:end w:w="120" w:type="dxa"/>
            </w:tcMar>
          </w:tcPr>
          <w:p>
            <w:pPr>
              <w:spacing w:before="0" w:after="40" w:line="252" w:lineRule="auto"/>
            </w:pPr>
            <w:r>
              <w:rPr>
                <w:rFonts w:ascii="Calibri" w:hAnsi="Calibri"/>
                <w:b w:val="0"/>
                <w:color w:val="161B22"/>
                <w:sz w:val="17"/>
              </w:rPr>
              <w:t>Processing a repeated delivery without creating a duplicate effect.</w:t>
            </w:r>
          </w:p>
        </w:tc>
      </w:tr>
      <w:tr>
        <w:trPr>
          <w:cantSplit/>
        </w:trPr>
        <w:tc>
          <w:tcPr>
            <w:tcW w:type="dxa" w:w="2232"/>
            <w:vAlign w:val="center"/>
            <w:tcMar>
              <w:top w:w="80" w:type="dxa"/>
              <w:start w:w="120" w:type="dxa"/>
              <w:bottom w:w="80" w:type="dxa"/>
              <w:end w:w="120" w:type="dxa"/>
            </w:tcMar>
          </w:tcPr>
          <w:p>
            <w:pPr>
              <w:spacing w:before="0" w:after="40" w:line="252" w:lineRule="auto"/>
            </w:pPr>
            <w:r>
              <w:rPr>
                <w:rFonts w:ascii="Calibri" w:hAnsi="Calibri"/>
                <w:b w:val="0"/>
                <w:color w:val="161B22"/>
                <w:sz w:val="17"/>
              </w:rPr>
              <w:t>Multi-session</w:t>
            </w:r>
          </w:p>
        </w:tc>
        <w:tc>
          <w:tcPr>
            <w:tcW w:type="dxa" w:w="7128"/>
            <w:vAlign w:val="center"/>
            <w:tcMar>
              <w:top w:w="80" w:type="dxa"/>
              <w:start w:w="120" w:type="dxa"/>
              <w:bottom w:w="80" w:type="dxa"/>
              <w:end w:w="120" w:type="dxa"/>
            </w:tcMar>
          </w:tcPr>
          <w:p>
            <w:pPr>
              <w:spacing w:before="0" w:after="40" w:line="252" w:lineRule="auto"/>
            </w:pPr>
            <w:r>
              <w:rPr>
                <w:rFonts w:ascii="Calibri" w:hAnsi="Calibri"/>
                <w:b w:val="0"/>
                <w:color w:val="161B22"/>
                <w:sz w:val="17"/>
              </w:rPr>
              <w:t>Several WhatsApp accounts in one deployment.</w:t>
            </w:r>
          </w:p>
        </w:tc>
      </w:tr>
      <w:tr>
        <w:trPr>
          <w:cantSplit/>
        </w:trPr>
        <w:tc>
          <w:tcPr>
            <w:tcW w:type="dxa" w:w="2232"/>
            <w:vAlign w:val="center"/>
            <w:tcMar>
              <w:top w:w="80" w:type="dxa"/>
              <w:start w:w="120" w:type="dxa"/>
              <w:bottom w:w="80" w:type="dxa"/>
              <w:end w:w="120" w:type="dxa"/>
            </w:tcMar>
          </w:tcPr>
          <w:p>
            <w:pPr>
              <w:spacing w:before="0" w:after="40" w:line="252" w:lineRule="auto"/>
            </w:pPr>
            <w:r>
              <w:rPr>
                <w:rFonts w:ascii="Calibri" w:hAnsi="Calibri"/>
                <w:b w:val="0"/>
                <w:color w:val="161B22"/>
                <w:sz w:val="17"/>
              </w:rPr>
              <w:t>Multi-tenant</w:t>
            </w:r>
          </w:p>
        </w:tc>
        <w:tc>
          <w:tcPr>
            <w:tcW w:type="dxa" w:w="7128"/>
            <w:vAlign w:val="center"/>
            <w:tcMar>
              <w:top w:w="80" w:type="dxa"/>
              <w:start w:w="120" w:type="dxa"/>
              <w:bottom w:w="80" w:type="dxa"/>
              <w:end w:w="120" w:type="dxa"/>
            </w:tcMar>
          </w:tcPr>
          <w:p>
            <w:pPr>
              <w:spacing w:before="0" w:after="40" w:line="252" w:lineRule="auto"/>
            </w:pPr>
            <w:r>
              <w:rPr>
                <w:rFonts w:ascii="Calibri" w:hAnsi="Calibri"/>
                <w:b w:val="0"/>
                <w:color w:val="161B22"/>
                <w:sz w:val="17"/>
              </w:rPr>
              <w:t>Several independent customer organizations with enforced identity and data boundaries.</w:t>
            </w:r>
          </w:p>
        </w:tc>
      </w:tr>
      <w:tr>
        <w:trPr>
          <w:cantSplit/>
        </w:trPr>
        <w:tc>
          <w:tcPr>
            <w:tcW w:type="dxa" w:w="2232"/>
            <w:vAlign w:val="center"/>
            <w:tcMar>
              <w:top w:w="80" w:type="dxa"/>
              <w:start w:w="120" w:type="dxa"/>
              <w:bottom w:w="80" w:type="dxa"/>
              <w:end w:w="120" w:type="dxa"/>
            </w:tcMar>
          </w:tcPr>
          <w:p>
            <w:pPr>
              <w:spacing w:before="0" w:after="40" w:line="252" w:lineRule="auto"/>
            </w:pPr>
            <w:r>
              <w:rPr>
                <w:rFonts w:ascii="Calibri" w:hAnsi="Calibri"/>
                <w:b w:val="0"/>
                <w:color w:val="161B22"/>
                <w:sz w:val="17"/>
              </w:rPr>
              <w:t>WABA</w:t>
            </w:r>
          </w:p>
        </w:tc>
        <w:tc>
          <w:tcPr>
            <w:tcW w:type="dxa" w:w="7128"/>
            <w:vAlign w:val="center"/>
            <w:tcMar>
              <w:top w:w="80" w:type="dxa"/>
              <w:start w:w="120" w:type="dxa"/>
              <w:bottom w:w="80" w:type="dxa"/>
              <w:end w:w="120" w:type="dxa"/>
            </w:tcMar>
          </w:tcPr>
          <w:p>
            <w:pPr>
              <w:spacing w:before="0" w:after="40" w:line="252" w:lineRule="auto"/>
            </w:pPr>
            <w:r>
              <w:rPr>
                <w:rFonts w:ascii="Calibri" w:hAnsi="Calibri"/>
                <w:b w:val="0"/>
                <w:color w:val="161B22"/>
                <w:sz w:val="17"/>
              </w:rPr>
              <w:t>WhatsApp Business Account used by Meta’s official Business Platform.</w:t>
            </w:r>
          </w:p>
        </w:tc>
      </w:tr>
    </w:tbl>
    <w:p>
      <w:pPr>
        <w:spacing w:after="0"/>
      </w:pPr>
    </w:p>
    <w:p>
      <w:pPr>
        <w:pStyle w:val="Heading2"/>
        <w:keepNext/>
        <w:pageBreakBefore/>
      </w:pPr>
      <w:r>
        <w:t>Repository sources reviewed</w:t>
      </w:r>
    </w:p>
    <w:p>
      <w:pPr>
        <w:spacing w:after="80" w:line="300" w:lineRule="auto"/>
        <w:numPr>
          <w:ilvl w:val="0"/>
          <w:numId w:val="10"/>
        </w:numPr>
      </w:pPr>
      <w:r>
        <w:rPr>
          <w:rFonts w:ascii="Calibri" w:hAnsi="Calibri"/>
          <w:color w:val="161B22"/>
          <w:sz w:val="22"/>
        </w:rPr>
        <w:t>README.md — product scope, risk warnings, features, setup and production profiles.</w:t>
      </w:r>
    </w:p>
    <w:p>
      <w:pPr>
        <w:spacing w:after="80" w:line="300" w:lineRule="auto"/>
        <w:numPr>
          <w:ilvl w:val="0"/>
          <w:numId w:val="10"/>
        </w:numPr>
      </w:pPr>
      <w:r>
        <w:rPr>
          <w:rFonts w:ascii="Calibri" w:hAnsi="Calibri"/>
          <w:color w:val="161B22"/>
          <w:sz w:val="22"/>
        </w:rPr>
        <w:t>SECURITY.md and docs/04-security-design.md — roles, session scope, SSRF, CORS, plugins and Docker risk.</w:t>
      </w:r>
    </w:p>
    <w:p>
      <w:pPr>
        <w:spacing w:after="80" w:line="300" w:lineRule="auto"/>
        <w:numPr>
          <w:ilvl w:val="0"/>
          <w:numId w:val="10"/>
        </w:numPr>
      </w:pPr>
      <w:r>
        <w:rPr>
          <w:rFonts w:ascii="Calibri" w:hAnsi="Calibri"/>
          <w:color w:val="161B22"/>
          <w:sz w:val="22"/>
        </w:rPr>
        <w:t>docs/10-devops-infrastructure.md and docs/13-horizontal-scaling.md — deployment and scaling.</w:t>
      </w:r>
    </w:p>
    <w:p>
      <w:pPr>
        <w:spacing w:after="80" w:line="300" w:lineRule="auto"/>
        <w:numPr>
          <w:ilvl w:val="0"/>
          <w:numId w:val="10"/>
        </w:numPr>
      </w:pPr>
      <w:r>
        <w:rPr>
          <w:rFonts w:ascii="Calibri" w:hAnsi="Calibri"/>
          <w:color w:val="161B22"/>
          <w:sz w:val="22"/>
        </w:rPr>
        <w:t>docs/19-plugin-architecture.md and docs/30-plugin-sandboxing.md — plugin lifecycle, permissions and trust model.</w:t>
      </w:r>
    </w:p>
    <w:p>
      <w:pPr>
        <w:spacing w:after="80" w:line="300" w:lineRule="auto"/>
        <w:numPr>
          <w:ilvl w:val="0"/>
          <w:numId w:val="10"/>
        </w:numPr>
      </w:pPr>
      <w:r>
        <w:rPr>
          <w:rFonts w:ascii="Calibri" w:hAnsi="Calibri"/>
          <w:color w:val="161B22"/>
          <w:sz w:val="22"/>
        </w:rPr>
        <w:t>docs/28-multitenancy.md — draft target design and current multi-session limitation.</w:t>
      </w:r>
    </w:p>
    <w:p>
      <w:pPr>
        <w:spacing w:after="80" w:line="300" w:lineRule="auto"/>
        <w:numPr>
          <w:ilvl w:val="0"/>
          <w:numId w:val="10"/>
        </w:numPr>
      </w:pPr>
      <w:r>
        <w:rPr>
          <w:rFonts w:ascii="Calibri" w:hAnsi="Calibri"/>
          <w:color w:val="161B22"/>
          <w:sz w:val="22"/>
        </w:rPr>
        <w:t>docs/29-engine-capability-matrix.md — feature parity and engine caveats.</w:t>
      </w:r>
    </w:p>
    <w:p>
      <w:pPr>
        <w:spacing w:after="80" w:line="300" w:lineRule="auto"/>
        <w:numPr>
          <w:ilvl w:val="0"/>
          <w:numId w:val="10"/>
        </w:numPr>
      </w:pPr>
      <w:r>
        <w:rPr>
          <w:rFonts w:ascii="Calibri" w:hAnsi="Calibri"/>
          <w:color w:val="161B22"/>
          <w:sz w:val="22"/>
        </w:rPr>
        <w:t>.env.example and message/webhook/template source modules — current defaults, limits and delivery behavior.</w:t>
      </w:r>
    </w:p>
    <w:p>
      <w:pPr>
        <w:pStyle w:val="Heading2"/>
        <w:keepNext/>
        <w:pageBreakBefore w:val="0"/>
      </w:pPr>
      <w:r>
        <w:t>Official external source</w:t>
      </w:r>
    </w:p>
    <w:p>
      <w:pPr>
        <w:spacing w:after="100"/>
      </w:pPr>
      <w:r>
        <w:rPr>
          <w:rFonts w:ascii="Calibri" w:hAnsi="Calibri"/>
          <w:color w:val="161B22"/>
          <w:sz w:val="20"/>
        </w:rPr>
        <w:t xml:space="preserve">WhatsApp Business Messaging Policy — opt-in, templates, customer-service window, data protection and enforcement (accessed 24 August 2026): </w:t>
      </w:r>
      <w:hyperlink r:id="rId15">
        <w:r>
          <w:rPr>
            <w:color w:val="2E74B5"/>
            <w:u w:val="single"/>
          </w:rPr>
          <w:t>whatsappbusiness.com/policy</w:t>
        </w:r>
      </w:hyperlink>
    </w:p>
    <w:p>
      <w:pPr>
        <w:spacing w:after="100"/>
      </w:pPr>
      <w:r>
        <w:rPr>
          <w:rFonts w:ascii="Calibri" w:hAnsi="Calibri"/>
          <w:color w:val="161B22"/>
          <w:sz w:val="20"/>
        </w:rPr>
        <w:t xml:space="preserve">Meta WhatsApp Cloud API documentation — official alternative for regulated and commercial-scale use: </w:t>
      </w:r>
      <w:hyperlink r:id="rId16">
        <w:r>
          <w:rPr>
            <w:color w:val="2E74B5"/>
            <w:u w:val="single"/>
          </w:rPr>
          <w:t>developers.facebook.com/docs/whatsapp/cloud-api</w:t>
        </w:r>
      </w:hyperlink>
    </w:p>
    <w:tbl>
      <w:tblPr>
        <w:tblStyle w:val="TableGrid"/>
        <w:tblW w:type="dxa" w:w="9360"/>
        <w:jc w:val="left"/>
        <w:tblLayout w:type="fixed"/>
        <w:tblLook w:firstColumn="1" w:firstRow="1" w:lastColumn="0" w:lastRow="0" w:noHBand="0" w:noVBand="1" w:val="04A0"/>
        <w:tblLayout w:type="fixed"/>
        <w:tblInd w:w="120" w:type="dxa"/>
      </w:tblPr>
      <w:tblGrid>
        <w:gridCol w:w="9360"/>
      </w:tblGrid>
      <w:tr>
        <w:tc>
          <w:tcPr>
            <w:tcW w:type="dxa" w:w="9360"/>
            <w:shd w:fill="E8EEF5"/>
            <w:tcMar>
              <w:top w:w="140" w:type="dxa"/>
              <w:start w:w="120" w:type="dxa"/>
              <w:bottom w:w="140" w:type="dxa"/>
              <w:end w:w="120" w:type="dxa"/>
            </w:tcMar>
          </w:tcPr>
          <w:p>
            <w:pPr>
              <w:spacing w:after="60"/>
            </w:pPr>
            <w:r>
              <w:rPr>
                <w:rFonts w:ascii="Calibri" w:hAnsi="Calibri"/>
                <w:b/>
                <w:color w:val="0B2545"/>
                <w:sz w:val="21"/>
              </w:rPr>
              <w:t>Scope note</w:t>
            </w:r>
          </w:p>
          <w:p>
            <w:pPr>
              <w:spacing w:after="0" w:line="276" w:lineRule="auto"/>
            </w:pPr>
            <w:r>
              <w:rPr>
                <w:rFonts w:ascii="Calibri" w:hAnsi="Calibri"/>
                <w:color w:val="161B22"/>
                <w:sz w:val="20"/>
              </w:rPr>
              <w:t>This handbook explains the inspected local v0.23.2 codebase and operational recommendations as of 24 August 2026. WhatsApp policy and platform behavior can change. Re-check official policy before production or commercial launch. This is technical guidance, not legal advice.</w:t>
            </w:r>
          </w:p>
        </w:tc>
      </w:tr>
    </w:tbl>
    <w:p>
      <w:pPr>
        <w:spacing w:after="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A"/>
        <w:sz w:val="17"/>
      </w:rPr>
      <w:t xml:space="preserve">OpenWA handbook  •  </w:t>
    </w:r>
    <w:r>
      <w:fldChar w:fldCharType="begin"/>
    </w:r>
    <w:r>
      <w:instrText xml:space="preserve">PAGE</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A"/>
        <w:sz w:val="17"/>
      </w:rPr>
      <w:t>OPENWA v0.23.2  |  OPERATIONS &amp; SAAS HANDBOOK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spacing w:after="80" w:line="300" w:lineRule="auto"/>
      </w:p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abstractNum w:abstractNumId="11">
    <w:multiLevelType w:val="singleLevel"/>
    <w:lvl w:ilvl="0">
      <w:start w:val="1"/>
      <w:numFmt w:val="decimal"/>
      <w:lvlText w:val="%1."/>
      <w:lvlJc w:val="left"/>
      <w:pPr>
        <w:tabs>
          <w:tab w:val="num" w:pos="540"/>
        </w:tabs>
        <w:ind w:left="540" w:hanging="270"/>
        <w:spacing w:after="80" w:line="300" w:lineRule="auto"/>
      </w:pPr>
    </w:lvl>
  </w:abstractNum>
  <w:abstractNum w:abstractNumId="12">
    <w:multiLevelType w:val="singleLevel"/>
    <w:lvl w:ilvl="0">
      <w:start w:val="1"/>
      <w:numFmt w:val="decimal"/>
      <w:lvlText w:val="%1."/>
      <w:lvlJc w:val="left"/>
      <w:pPr>
        <w:tabs>
          <w:tab w:val="num" w:pos="540"/>
        </w:tabs>
        <w:ind w:left="540" w:hanging="270"/>
        <w:spacing w:after="80" w:line="300" w:lineRule="auto"/>
      </w:pPr>
    </w:lvl>
  </w:abstractNum>
  <w:abstractNum w:abstractNumId="13">
    <w:multiLevelType w:val="singleLevel"/>
    <w:lvl w:ilvl="0">
      <w:start w:val="1"/>
      <w:numFmt w:val="decimal"/>
      <w:lvlText w:val="%1."/>
      <w:lvlJc w:val="left"/>
      <w:pPr>
        <w:tabs>
          <w:tab w:val="num" w:pos="540"/>
        </w:tabs>
        <w:ind w:left="540" w:hanging="270"/>
        <w:spacing w:after="80" w:line="300" w:lineRule="auto"/>
      </w:pPr>
    </w:lvl>
  </w:abstractNum>
  <w:abstractNum w:abstractNumId="14">
    <w:multiLevelType w:val="singleLevel"/>
    <w:lvl w:ilvl="0">
      <w:start w:val="1"/>
      <w:numFmt w:val="decimal"/>
      <w:lvlText w:val="%1."/>
      <w:lvlJc w:val="left"/>
      <w:pPr>
        <w:tabs>
          <w:tab w:val="num" w:pos="540"/>
        </w:tabs>
        <w:ind w:left="540" w:hanging="270"/>
        <w:spacing w:after="80" w:line="300" w:lineRule="auto"/>
      </w:pPr>
    </w:lvl>
  </w:abstractNum>
  <w:abstractNum w:abstractNumId="15">
    <w:multiLevelType w:val="singleLevel"/>
    <w:lvl w:ilvl="0">
      <w:start w:val="1"/>
      <w:numFmt w:val="decimal"/>
      <w:lvlText w:val="%1."/>
      <w:lvlJc w:val="left"/>
      <w:pPr>
        <w:tabs>
          <w:tab w:val="num" w:pos="540"/>
        </w:tabs>
        <w:ind w:left="540" w:hanging="270"/>
        <w:spacing w:after="80" w:line="300" w:lineRule="auto"/>
      </w:pPr>
    </w:lvl>
  </w:abstractNum>
  <w:abstractNum w:abstractNumId="16">
    <w:multiLevelType w:val="singleLevel"/>
    <w:lvl w:ilvl="0">
      <w:start w:val="1"/>
      <w:numFmt w:val="decimal"/>
      <w:lvlText w:val="%1."/>
      <w:lvlJc w:val="left"/>
      <w:pPr>
        <w:tabs>
          <w:tab w:val="num" w:pos="540"/>
        </w:tabs>
        <w:ind w:left="540" w:hanging="270"/>
        <w:spacing w:after="80" w:line="300" w:lineRule="auto"/>
      </w:pPr>
    </w:lvl>
  </w:abstractNum>
  <w:abstractNum w:abstractNumId="17">
    <w:multiLevelType w:val="singleLevel"/>
    <w:lvl w:ilvl="0">
      <w:start w:val="1"/>
      <w:numFmt w:val="decimal"/>
      <w:lvlText w:val="%1."/>
      <w:lvlJc w:val="left"/>
      <w:pPr>
        <w:tabs>
          <w:tab w:val="num" w:pos="540"/>
        </w:tabs>
        <w:ind w:left="540" w:hanging="270"/>
        <w:spacing w:after="80" w:line="300" w:lineRule="auto"/>
      </w:pPr>
    </w:lvl>
  </w:abstractNum>
  <w:abstractNum w:abstractNumId="18">
    <w:multiLevelType w:val="singleLevel"/>
    <w:lvl w:ilvl="0">
      <w:start w:val="1"/>
      <w:numFmt w:val="bullet"/>
      <w:lvlText w:val="☐"/>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1B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whatsappbusiness.com/policy/" TargetMode="External"/><Relationship Id="rId16" Type="http://schemas.openxmlformats.org/officeDocument/2006/relationships/hyperlink" Target="https://developers.facebook.com/docs/whatsapp/cloud-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OpenWA v0.23.2: Operations and SaaS Handbook</dc:title>
  <dc:subject>Capabilities, safe sending, plugins, webhooks, deployment, security, templates, and SaaS architecture</dc:subject>
  <dc:creator>OpenWA local deployment handbook</dc:creator>
  <cp:keywords>OpenWA, WhatsApp, API, webhook, plugin, Docker, SaaS, security</cp:keywords>
  <dc:description>Prepared from the local OpenWA v0.23.2 repository and official WhatsApp policy sources.</dc:description>
  <cp:lastModifiedBy/>
  <cp:revision>1</cp:revision>
  <dcterms:created xsi:type="dcterms:W3CDTF">2013-12-23T23:15:00Z</dcterms:created>
  <dcterms:modified xsi:type="dcterms:W3CDTF">2013-12-23T23:15:00Z</dcterms:modified>
  <cp:category/>
</cp:coreProperties>
</file>