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76" w:lineRule="auto"/>
        <w:jc w:val="center"/>
        <w:rPr/>
      </w:pPr>
      <w:r w:rsidDel="00000000" w:rsidR="00000000" w:rsidRPr="00000000">
        <w:rPr>
          <w:rFonts w:ascii="Times New Roman" w:cs="Times New Roman" w:eastAsia="Times New Roman" w:hAnsi="Times New Roman"/>
          <w:b w:val="1"/>
          <w:bCs w:val="1"/>
          <w:sz w:val="30"/>
          <w:szCs w:val="30"/>
          <w:rtl w:val="0"/>
        </w:rPr>
        <w:t xml:space="preserve">HCMC UNIVERSITY OF TECHNOLOGY AND EDUCATION</w:t>
      </w:r>
      <w:r w:rsidDel="00000000" w:rsidR="00000000" w:rsidRPr="00000000">
        <w:rPr>
          <w:rtl w:val="0"/>
        </w:rPr>
      </w:r>
    </w:p>
    <w:p w:rsidR="00000000" w:rsidDel="00000000" w:rsidP="00000000" w:rsidRDefault="00000000" w:rsidRPr="00000000" w14:paraId="00000002">
      <w:pPr>
        <w:spacing w:after="400" w:before="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r w:rsidDel="00000000" w:rsidR="00000000" w:rsidRPr="00000000">
        <w:rPr>
          <w:rtl w:val="0"/>
        </w:rPr>
      </w:r>
    </w:p>
    <w:p w:rsidR="00000000" w:rsidDel="00000000" w:rsidP="00000000" w:rsidRDefault="00000000" w:rsidRPr="00000000" w14:paraId="00000003">
      <w:pPr>
        <w:spacing w:after="500" w:before="0" w:line="276" w:lineRule="auto"/>
        <w:jc w:val="center"/>
        <w:rPr/>
      </w:pPr>
      <w:r w:rsidDel="00000000" w:rsidR="00000000" w:rsidRPr="00000000">
        <w:rPr>
          <w:rFonts w:ascii="Times New Roman" w:cs="Times New Roman" w:eastAsia="Times New Roman" w:hAnsi="Times New Roman"/>
          <w:b w:val="1"/>
          <w:bCs w:val="1"/>
          <w:sz w:val="32"/>
          <w:szCs w:val="32"/>
          <w:rtl w:val="0"/>
        </w:rPr>
        <w:t xml:space="preserve">NEW TECHNOLOGIES IN SOFTWARE ENGINEERING</w:t>
      </w:r>
      <w:r w:rsidDel="00000000" w:rsidR="00000000" w:rsidRPr="00000000">
        <w:rPr>
          <w:rtl w:val="0"/>
        </w:rPr>
      </w:r>
    </w:p>
    <w:p w:rsidR="00000000" w:rsidDel="00000000" w:rsidP="00000000" w:rsidRDefault="00000000" w:rsidRPr="00000000" w14:paraId="00000004">
      <w:pPr>
        <w:spacing w:after="360" w:before="0" w:line="276" w:lineRule="auto"/>
        <w:jc w:val="center"/>
        <w:rPr/>
      </w:pPr>
      <w:r w:rsidDel="00000000" w:rsidR="00000000" w:rsidRPr="00000000">
        <w:rPr>
          <w:rFonts w:ascii="Times New Roman" w:cs="Times New Roman" w:eastAsia="Times New Roman" w:hAnsi="Times New Roman"/>
          <w:b w:val="1"/>
          <w:bCs w:val="1"/>
          <w:sz w:val="40"/>
          <w:szCs w:val="40"/>
          <w:rtl w:val="0"/>
        </w:rPr>
        <w:t xml:space="preserve">PROJECT </w:t>
      </w:r>
      <w:r w:rsidDel="00000000" w:rsidR="00000000" w:rsidRPr="00000000">
        <w:rPr>
          <w:b w:val="1"/>
          <w:bCs w:val="1"/>
          <w:sz w:val="40"/>
          <w:szCs w:val="40"/>
          <w:rtl w:val="0"/>
        </w:rPr>
        <w:t xml:space="preserve">REPORT</w:t>
      </w:r>
      <w:r w:rsidDel="00000000" w:rsidR="00000000" w:rsidRPr="00000000">
        <w:rPr>
          <w:rtl w:val="0"/>
        </w:rPr>
      </w:r>
    </w:p>
    <w:p w:rsidR="00000000" w:rsidDel="00000000" w:rsidP="00000000" w:rsidRDefault="00000000" w:rsidRPr="00000000" w14:paraId="00000005">
      <w:pPr>
        <w:spacing w:after="160" w:before="0" w:line="276" w:lineRule="auto"/>
        <w:jc w:val="center"/>
        <w:rPr/>
      </w:pPr>
      <w:r w:rsidDel="00000000" w:rsidR="00000000" w:rsidRPr="00000000">
        <w:rPr>
          <w:b w:val="1"/>
          <w:bCs w:val="1"/>
          <w:sz w:val="36"/>
          <w:szCs w:val="36"/>
          <w:rtl w:val="0"/>
        </w:rPr>
        <w:t xml:space="preserve">Building Career</w:t>
      </w:r>
      <w:r w:rsidDel="00000000" w:rsidR="00000000" w:rsidRPr="00000000">
        <w:rPr>
          <w:rFonts w:ascii="Times New Roman" w:cs="Times New Roman" w:eastAsia="Times New Roman" w:hAnsi="Times New Roman"/>
          <w:b w:val="1"/>
          <w:bCs w:val="1"/>
          <w:sz w:val="36"/>
          <w:szCs w:val="36"/>
          <w:rtl w:val="0"/>
        </w:rPr>
        <w:t xml:space="preserve"> Simulation Platform for Students</w:t>
      </w:r>
      <w:r w:rsidDel="00000000" w:rsidR="00000000" w:rsidRPr="00000000">
        <w:rPr>
          <w:rtl w:val="0"/>
        </w:rPr>
      </w:r>
    </w:p>
    <w:p w:rsidR="00000000" w:rsidDel="00000000" w:rsidP="00000000" w:rsidRDefault="00000000" w:rsidRPr="00000000" w14:paraId="00000006">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7">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8">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9">
      <w:pPr>
        <w:spacing w:after="120" w:before="0" w:line="276" w:lineRule="auto"/>
        <w:jc w:val="center"/>
        <w:rPr>
          <w:i w:val="1"/>
          <w:iCs w:val="1"/>
        </w:rPr>
      </w:pPr>
      <w:r w:rsidDel="00000000" w:rsidR="00000000" w:rsidRPr="00000000">
        <w:rPr>
          <w:rFonts w:ascii="Times New Roman" w:cs="Times New Roman" w:eastAsia="Times New Roman" w:hAnsi="Times New Roman"/>
          <w:b w:val="0"/>
          <w:bCs w:val="0"/>
          <w:i w:val="1"/>
          <w:iCs w:val="1"/>
          <w:sz w:val="26"/>
          <w:szCs w:val="26"/>
          <w:rtl w:val="0"/>
        </w:rPr>
        <w:t xml:space="preserve">Ho Chi Minh City, 2026</w:t>
      </w:r>
      <w:r w:rsidDel="00000000" w:rsidR="00000000" w:rsidRPr="00000000">
        <w:rPr>
          <w:rtl w:val="0"/>
        </w:rPr>
      </w:r>
    </w:p>
    <w:p w:rsidR="00000000" w:rsidDel="00000000" w:rsidP="00000000" w:rsidRDefault="00000000" w:rsidRPr="00000000" w14:paraId="000000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00" w:before="160" w:line="276" w:lineRule="auto"/>
        <w:jc w:val="center"/>
        <w:rPr/>
      </w:pPr>
      <w:r w:rsidDel="00000000" w:rsidR="00000000" w:rsidRPr="00000000">
        <w:rPr>
          <w:rtl w:val="0"/>
        </w:rPr>
        <w:t xml:space="preserve">PART A: INTRODUCTION</w:t>
      </w:r>
    </w:p>
    <w:p w:rsidR="00000000" w:rsidDel="00000000" w:rsidP="00000000" w:rsidRDefault="00000000" w:rsidRPr="00000000" w14:paraId="0000000C">
      <w:pPr>
        <w:pStyle w:val="Heading2"/>
        <w:spacing w:after="100" w:before="100" w:line="276" w:lineRule="auto"/>
        <w:rPr/>
      </w:pPr>
      <w:r w:rsidDel="00000000" w:rsidR="00000000" w:rsidRPr="00000000">
        <w:rPr>
          <w:rtl w:val="0"/>
        </w:rPr>
        <w:t xml:space="preserve">1. Reasons for choosing the topic</w:t>
      </w:r>
    </w:p>
    <w:p w:rsidR="00000000" w:rsidDel="00000000" w:rsidP="00000000" w:rsidRDefault="00000000" w:rsidRPr="00000000" w14:paraId="0000000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Career orientation is an important decision-making process for secondary-school students, yet many students have limited opportunities to understand their own interests and strengths or to experience activities that resemble real professional work. Existing approaches commonly rely on interest inventories, informational websites, counselling sessions, or isolated career events. These approaches can provide useful information, but they do not necessarily give students a structured opportunity to test their expectations through practical activities.</w:t>
      </w:r>
      <w:r w:rsidDel="00000000" w:rsidR="00000000" w:rsidRPr="00000000">
        <w:rPr>
          <w:rtl w:val="0"/>
        </w:rPr>
      </w:r>
    </w:p>
    <w:p w:rsidR="00000000" w:rsidDel="00000000" w:rsidP="00000000" w:rsidRDefault="00000000" w:rsidRPr="00000000" w14:paraId="0000000E">
      <w:pPr>
        <w:spacing w:after="120" w:before="0" w:line="276" w:lineRule="auto"/>
        <w:jc w:val="both"/>
        <w:rPr/>
      </w:pPr>
      <w:r>
        <w:t>This project proposes CareerSim, an experiential career exploration platform that combines a RIASEC-based assessment, task-oriented career simulations, objective evaluation, a concise student Dashboard, and Syn, an evidence-grounded exploration assistant. The system is not intended to determine which career a student should pursue. Instead, it provides evidence from assessment results and simulated activities so that students can compare their interests, practised skills, and areas that need more evidence and make more informed decisions independently.</w:t>
      </w:r>
    </w:p>
    <w:p w:rsidR="00000000" w:rsidDel="00000000" w:rsidP="00000000" w:rsidRDefault="00000000" w:rsidRPr="00000000" w14:paraId="0000000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implementation is intentionally limited to the Information Technology domain, covering representative career directions such as frontend development, backend development, data analysis, software testing, and cybersecurity. This restricted scope makes it possible to build a complete and demonstrable vertical slice within the eight-week course while leaving a clear path for future expansion.</w:t>
      </w:r>
      <w:r w:rsidDel="00000000" w:rsidR="00000000" w:rsidRPr="00000000">
        <w:rPr>
          <w:rtl w:val="0"/>
        </w:rPr>
      </w:r>
    </w:p>
    <w:p w:rsidR="00000000" w:rsidDel="00000000" w:rsidP="00000000" w:rsidRDefault="00000000" w:rsidRPr="00000000" w14:paraId="00000010">
      <w:pPr>
        <w:pStyle w:val="Heading2"/>
        <w:spacing w:after="100" w:before="100" w:line="276" w:lineRule="auto"/>
        <w:jc w:val="both"/>
        <w:rPr/>
      </w:pPr>
      <w:r w:rsidDel="00000000" w:rsidR="00000000" w:rsidRPr="00000000">
        <w:rPr>
          <w:rtl w:val="0"/>
        </w:rPr>
        <w:t xml:space="preserve">2. Project objectives</w:t>
      </w:r>
    </w:p>
    <w:p w:rsidR="00000000" w:rsidDel="00000000" w:rsidP="00000000" w:rsidRDefault="00000000" w:rsidRPr="00000000" w14:paraId="0000001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project aims to achieve the following objectives: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students with a structured workflow for exploring IT-related career directions.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a RIASEC-based assessment to identify areas that students may wish to explore further without presenting the result as a deterministic career decision.</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short, task-oriented career simulations that expose students to representative activities rather than only descriptive career information.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Evaluate simulation performance using deterministic rules, answer keys, or test cases so that the core assessment remains reproducible.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Design Syn as a bounded AI exploration assistant that helps students reflect on assessment and simulation evidence, identify uncertainties, and prepare possible next steps without making career decisions on their behalf.</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Maintain graceful degradation so that assessment, simulation, scoring, Dashboard results, and deterministic exploration actions remain available when the AI service is unavailable.</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a small but complete web application with a reproducible deployment environment that demonstrates frontend, backend, data, AI integration, and basic operational skills.</w:t>
      </w:r>
    </w:p>
    <w:p w:rsidR="00000000" w:rsidDel="00000000" w:rsidP="00000000" w:rsidRDefault="00000000" w:rsidRPr="00000000" w14:paraId="00000019">
      <w:pPr>
        <w:pStyle w:val="Heading2"/>
        <w:spacing w:after="100" w:before="100" w:line="276" w:lineRule="auto"/>
        <w:jc w:val="both"/>
        <w:rPr/>
      </w:pPr>
      <w:r w:rsidDel="00000000" w:rsidR="00000000" w:rsidRPr="00000000">
        <w:rPr>
          <w:rtl w:val="0"/>
        </w:rPr>
        <w:t xml:space="preserve">3. Target users</w:t>
      </w:r>
    </w:p>
    <w:p w:rsidR="00000000" w:rsidDel="00000000" w:rsidP="00000000" w:rsidRDefault="00000000" w:rsidRPr="00000000" w14:paraId="0000001A">
      <w:pPr>
        <w:pStyle w:val="Heading3"/>
        <w:spacing w:after="100" w:before="100" w:line="276" w:lineRule="auto"/>
        <w:jc w:val="both"/>
        <w:rPr/>
      </w:pPr>
      <w:r w:rsidDel="00000000" w:rsidR="00000000" w:rsidRPr="00000000">
        <w:rPr>
          <w:rtl w:val="0"/>
        </w:rPr>
        <w:t xml:space="preserve">3.1. Students</w:t>
      </w:r>
    </w:p>
    <w:p w:rsidR="00000000" w:rsidDel="00000000" w:rsidP="00000000" w:rsidRDefault="00000000" w:rsidRPr="00000000" w14:paraId="0000001B">
      <w:pPr>
        <w:spacing w:after="120" w:before="0" w:line="276" w:lineRule="auto"/>
        <w:jc w:val="both"/>
        <w:rPr/>
      </w:pPr>
      <w:r>
        <w:t>Students are the primary users. They can complete the RIASEC-based assessment, select and perform career simulations, submit task answers, review objective results on the Dashboard, and interact with Syn for evidence-grounded reflection. Syn presents explanations and possible exploration options rather than final career decisions, and the student retains control of every interpretation and next step.</w:t>
      </w:r>
    </w:p>
    <w:p w:rsidR="00000000" w:rsidDel="00000000" w:rsidP="00000000" w:rsidRDefault="00000000" w:rsidRPr="00000000" w14:paraId="0000001C">
      <w:pPr>
        <w:pStyle w:val="Heading3"/>
        <w:spacing w:after="100" w:before="100" w:line="276" w:lineRule="auto"/>
        <w:jc w:val="both"/>
        <w:rPr/>
      </w:pPr>
      <w:r w:rsidDel="00000000" w:rsidR="00000000" w:rsidRPr="00000000">
        <w:rPr>
          <w:rtl w:val="0"/>
        </w:rPr>
        <w:t xml:space="preserve">3.2. Enterprises and content providers</w:t>
      </w:r>
    </w:p>
    <w:p w:rsidR="00000000" w:rsidDel="00000000" w:rsidP="00000000" w:rsidRDefault="00000000" w:rsidRPr="00000000" w14:paraId="0000001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Enterprises represent a secondary user group responsible for providing or managing simulation content. Within the MVP, an enterprise user can create, edit, publish, and monitor career simulations and their associated tasks. Recruitment functionality is deliberately excluded so that the project remains focused on career exploration rather than employment matching.</w:t>
      </w:r>
      <w:r w:rsidDel="00000000" w:rsidR="00000000" w:rsidRPr="00000000">
        <w:rPr>
          <w:rtl w:val="0"/>
        </w:rPr>
      </w:r>
    </w:p>
    <w:p w:rsidR="00000000" w:rsidDel="00000000" w:rsidP="00000000" w:rsidRDefault="00000000" w:rsidRPr="00000000" w14:paraId="0000001E">
      <w:pPr>
        <w:pStyle w:val="Heading2"/>
        <w:spacing w:after="100" w:before="100" w:line="276" w:lineRule="auto"/>
        <w:jc w:val="both"/>
        <w:rPr/>
      </w:pPr>
      <w:r w:rsidDel="00000000" w:rsidR="00000000" w:rsidRPr="00000000">
        <w:rPr>
          <w:rtl w:val="0"/>
        </w:rPr>
        <w:t xml:space="preserve">4. Project scope and MVP boundary</w:t>
      </w:r>
    </w:p>
    <w:p w:rsidR="00000000" w:rsidDel="00000000" w:rsidP="00000000" w:rsidRDefault="00000000" w:rsidRPr="00000000" w14:paraId="0000001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MVP includes: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authentication and student profiles.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RIASEC-based assessment and deterministic scoring.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IT-oriented career simulations with task-based activities.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Objective simulation evaluation using predefined answers, rules, or test cases.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A concise student Dashboard and Syn, an evidence-grounded exploration assistant with deterministic fallback.</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Enterprise-side simulation management.</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Persistent data storage and a REST-based application backend.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Containerized deployment on an Ubuntu Server virtual machine.</w:t>
      </w:r>
    </w:p>
    <w:p w:rsidR="00000000" w:rsidDel="00000000" w:rsidP="00000000" w:rsidRDefault="00000000" w:rsidRPr="00000000" w14:paraId="0000002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following capabilities are outside the MVP: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VR/AR and fully 3D career environments.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Multiplayer simulations.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Direct recruitment or job-matching workflows.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dedicated mobile application.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Training a proprietary large language model.</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Full offline operation of the entire platform.</w:t>
      </w:r>
    </w:p>
    <w:p w:rsidR="00000000" w:rsidDel="00000000" w:rsidP="00000000" w:rsidRDefault="00000000" w:rsidRPr="00000000" w14:paraId="0000002F">
      <w:pPr>
        <w:pStyle w:val="Heading1"/>
        <w:spacing w:after="100" w:before="160" w:line="276" w:lineRule="auto"/>
        <w:jc w:val="center"/>
        <w:rPr/>
      </w:pPr>
      <w:r w:rsidDel="00000000" w:rsidR="00000000" w:rsidRPr="00000000">
        <w:rPr>
          <w:rtl w:val="0"/>
        </w:rPr>
        <w:t xml:space="preserve">PART B: CONTENTS</w:t>
      </w:r>
    </w:p>
    <w:p w:rsidR="00000000" w:rsidDel="00000000" w:rsidP="00000000" w:rsidRDefault="00000000" w:rsidRPr="00000000" w14:paraId="00000030">
      <w:pPr>
        <w:pStyle w:val="Heading1"/>
        <w:spacing w:after="100" w:before="160" w:line="276" w:lineRule="auto"/>
        <w:jc w:val="center"/>
        <w:rPr/>
      </w:pPr>
      <w:r w:rsidDel="00000000" w:rsidR="00000000" w:rsidRPr="00000000">
        <w:rPr>
          <w:rtl w:val="0"/>
        </w:rPr>
        <w:t xml:space="preserve">CHAPTER 1: REQUIREMENT CAPTURING AND MODELING</w:t>
      </w:r>
    </w:p>
    <w:p w:rsidR="00000000" w:rsidDel="00000000" w:rsidP="00000000" w:rsidRDefault="00000000" w:rsidRPr="00000000" w14:paraId="00000031">
      <w:pPr>
        <w:pStyle w:val="Heading2"/>
        <w:spacing w:after="100" w:before="100" w:line="276" w:lineRule="auto"/>
        <w:jc w:val="both"/>
        <w:rPr/>
      </w:pPr>
      <w:r w:rsidDel="00000000" w:rsidR="00000000" w:rsidRPr="00000000">
        <w:rPr>
          <w:rtl w:val="0"/>
        </w:rPr>
        <w:t xml:space="preserve">1.1. Problem statement</w:t>
      </w:r>
    </w:p>
    <w:p w:rsidR="00000000" w:rsidDel="00000000" w:rsidP="00000000" w:rsidRDefault="00000000" w:rsidRPr="00000000" w14:paraId="0000003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core problem is the gap between receiving career information and actually exploring whether a career direction is personally suitable. A student may obtain a high score in an interest test or read a description of a profession without understanding what the corresponding work feels like or which skills may require further development. Therefore, the proposed system focuses on a feedback loop: assess interests, experience representative tasks, evaluate performance, and reflect on the results.</w:t>
      </w:r>
      <w:r w:rsidDel="00000000" w:rsidR="00000000" w:rsidRPr="00000000">
        <w:rPr>
          <w:rtl w:val="0"/>
        </w:rPr>
      </w:r>
    </w:p>
    <w:p w:rsidR="00000000" w:rsidDel="00000000" w:rsidP="00000000" w:rsidRDefault="00000000" w:rsidRPr="00000000" w14:paraId="0000003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system is deliberately designed as a decision-support and exploration platform rather than a career prediction system. The final interpretation remains with the student. This distinction is important because an assessment score or an AI-generated explanation should not be treated as sufficient evidence for making a long-term educational or career decision.</w:t>
      </w:r>
      <w:r w:rsidDel="00000000" w:rsidR="00000000" w:rsidRPr="00000000">
        <w:rPr>
          <w:rtl w:val="0"/>
        </w:rPr>
      </w:r>
    </w:p>
    <w:p w:rsidR="00000000" w:rsidDel="00000000" w:rsidP="00000000" w:rsidRDefault="00000000" w:rsidRPr="00000000" w14:paraId="00000034">
      <w:pPr>
        <w:pStyle w:val="Heading2"/>
        <w:spacing w:after="100" w:before="100" w:line="276" w:lineRule="auto"/>
        <w:jc w:val="both"/>
        <w:rPr/>
      </w:pPr>
      <w:r w:rsidDel="00000000" w:rsidR="00000000" w:rsidRPr="00000000">
        <w:rPr>
          <w:rtl w:val="0"/>
        </w:rPr>
        <w:t xml:space="preserve">1.2. Essential user stories</w:t>
      </w:r>
    </w:p>
    <w:tbl>
      <w:tblPr>
        <w:tblStyle w:val="Table1"/>
        <w:tblW w:w="9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4665"/>
        <w:gridCol w:w="3060"/>
        <w:tblGridChange w:id="0">
          <w:tblGrid>
            <w:gridCol w:w="1470"/>
            <w:gridCol w:w="4665"/>
            <w:gridCol w:w="3060"/>
          </w:tblGrid>
        </w:tblGridChange>
      </w:tblGrid>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22"/>
                <w:szCs w:val="22"/>
                <w:rtl w:val="0"/>
              </w:rPr>
              <w:t xml:space="preserve">User Story</w:t>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US-01</w:t>
            </w:r>
            <w:r w:rsidDel="00000000" w:rsidR="00000000" w:rsidRPr="00000000">
              <w:rPr>
                <w:rtl w:val="0"/>
              </w:rPr>
            </w:r>
          </w:p>
        </w:tc>
        <w:tc>
          <w:tcPr>
            <w:vAlign w:val="center"/>
          </w:tcPr>
          <w:p w:rsidR="00000000" w:rsidDel="00000000" w:rsidP="00000000" w:rsidRDefault="00000000" w:rsidRPr="00000000" w14:paraId="0000003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As a student, I want to complete a RIASEC-based assessment and receive several IT career directions to explore further.</w:t>
            </w:r>
            <w:r w:rsidDel="00000000" w:rsidR="00000000" w:rsidRPr="00000000">
              <w:rPr>
                <w:rtl w:val="0"/>
              </w:rPr>
            </w:r>
          </w:p>
        </w:tc>
        <w:tc>
          <w:tcPr>
            <w:vAlign w:val="center"/>
          </w:tcPr>
          <w:p w:rsidR="00000000" w:rsidDel="00000000" w:rsidP="00000000" w:rsidRDefault="00000000" w:rsidRPr="00000000" w14:paraId="0000003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Establish an initial exploration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US-02</w:t>
            </w:r>
            <w:r w:rsidDel="00000000" w:rsidR="00000000" w:rsidRPr="00000000">
              <w:rPr>
                <w:rtl w:val="0"/>
              </w:rPr>
            </w:r>
          </w:p>
        </w:tc>
        <w:tc>
          <w:tcPr>
            <w:vAlign w:val="center"/>
          </w:tcPr>
          <w:p w:rsidR="00000000" w:rsidDel="00000000" w:rsidP="00000000" w:rsidRDefault="00000000" w:rsidRPr="00000000" w14:paraId="0000003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As a student, I want to complete a career simulation consisting of representative tasks so that I can experience the type of work before deciding whether to explore it further.</w:t>
            </w:r>
            <w:r w:rsidDel="00000000" w:rsidR="00000000" w:rsidRPr="00000000">
              <w:rPr>
                <w:rtl w:val="0"/>
              </w:rPr>
            </w:r>
          </w:p>
        </w:tc>
        <w:tc>
          <w:tcPr>
            <w:vAlign w:val="center"/>
          </w:tcPr>
          <w:p w:rsidR="00000000" w:rsidDel="00000000" w:rsidP="00000000" w:rsidRDefault="00000000" w:rsidRPr="00000000" w14:paraId="0000003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Provide experiential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US-03</w:t>
            </w:r>
            <w:r w:rsidDel="00000000" w:rsidR="00000000" w:rsidRPr="00000000">
              <w:rPr>
                <w:rtl w:val="0"/>
              </w:rPr>
            </w:r>
          </w:p>
        </w:tc>
        <w:tc>
          <w:tcPr>
            <w:vAlign w:val="center"/>
          </w:tcPr>
          <w:p>
            <w:r>
              <w:t>As a student, I want to interact with Syn, an evidence-grounded exploration assistant, so that I can reflect on my assessment and simulation experiences, understand what I have practised, and form my own possible next steps without the system making a career decision for me.</w:t>
            </w:r>
          </w:p>
        </w:tc>
        <w:tc>
          <w:tcPr>
            <w:vAlign w:val="center"/>
          </w:tcPr>
          <w:p>
            <w:r>
              <w:t>Support evidence-grounded reflection while preserving student autonomy.</w:t>
            </w:r>
          </w:p>
        </w:tc>
      </w:tr>
    </w:tbl>
    <w:p>
      <w:pPr>
        <w:pStyle w:val="Heading3"/>
      </w:pPr>
      <w:r>
        <w:t>1.2.1. US-03 acceptance baseline</w:t>
      </w:r>
    </w:p>
    <w:p>
      <w:pPr/>
      <w:r>
        <w:t>AC-03.1 Syn introduces itself and clearly explains its supporting role and limitations.</w:t>
      </w:r>
    </w:p>
    <w:p>
      <w:pPr/>
      <w:r>
        <w:t>AC-03.2 Syn can explain RIASEC signals and simulation results only from authorized system evidence.</w:t>
      </w:r>
    </w:p>
    <w:p>
      <w:pPr/>
      <w:r>
        <w:t>AC-03.3 Syn can compare interests, practised skills, and areas that need more evidence without certifying competence.</w:t>
      </w:r>
    </w:p>
    <w:p>
      <w:pPr/>
      <w:r>
        <w:t>AC-03.4 Syn can present result details as structured cards and highlight the task evidence relevant to the current conversation.</w:t>
      </w:r>
    </w:p>
    <w:p>
      <w:pPr/>
      <w:r>
        <w:t>AC-03.5 Syn can suggest simulations, preparation activities, or reflective questions as options rather than final recommendations.</w:t>
      </w:r>
    </w:p>
    <w:p>
      <w:pPr/>
      <w:r>
        <w:t>AC-03.6 Syn can draft an exploration plan but must obtain explicit student confirmation before saving it.</w:t>
      </w:r>
    </w:p>
    <w:p>
      <w:pPr/>
      <w:r>
        <w:t>AC-03.7 Syn must not calculate or modify scores, reveal answer keys, predict career success, or choose a career for the student.</w:t>
      </w:r>
    </w:p>
    <w:p>
      <w:pPr/>
      <w:r>
        <w:t>AC-03.8 If AI is unavailable or unusable, objective results, deterministic quick actions, and basic plan templates remain accessible with clear fallback provenance.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spacing w:after="100" w:before="100" w:line="276" w:lineRule="auto"/>
        <w:jc w:val="both"/>
        <w:rPr/>
      </w:pPr>
      <w:r w:rsidDel="00000000" w:rsidR="00000000" w:rsidRPr="00000000">
        <w:rPr>
          <w:rtl w:val="0"/>
        </w:rPr>
        <w:t xml:space="preserve">1.3. Complete vertical-slice scenario</w:t>
      </w:r>
    </w:p>
    <w:p w:rsidR="00000000" w:rsidDel="00000000" w:rsidP="00000000" w:rsidRDefault="00000000" w:rsidRPr="00000000" w14:paraId="00000043">
      <w:pPr>
        <w:spacing w:after="120" w:before="0" w:line="276" w:lineRule="auto"/>
        <w:jc w:val="both"/>
        <w:rPr/>
      </w:pPr>
      <w:r>
        <w:t>The minimum demonstrable vertical slice is designed to be completed in less than two minutes and represents the complete student workflow from the user interface to persistent data, deterministic evaluation, Dashboard presentation, and optional evidence-grounded reflection with Syn.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The student opens the "Backend API Triage" simulation.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student completes three representative tasks: interpreting an API response, selecting an appropriate SQL query, and identifying a backend error.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frontend submits the answers to the Spring Boot REST API.</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validates the request and retrieves the relevant simulation and task definitions from PostgreSQL.</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evaluation engine calculates the result using predefined answers, rules, or test cases. AI is not responsible for determining the score.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persists the attempt and result and returns the objective score and task-level outcomes.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When the student asks Syn for an explanation, comparison, or plan draft, the backend constructs a minimized and authorized context from the relevant RIASEC result, simulation result, task outcomes, practised-skill evidence, and confirmed exploration-plan data.</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Syn uses a bounded tool-based workflow to retrieve only approved evidence and requests a structured response covering evidence-based observations, uncertainty, reflective questions, and possible next exploration steps. Deterministic result retrieval and display actions do not require an LLM call.</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The backend validates the AI output against an approved schema and verifies that referenced evidence exists before returning the response and its provenance to the frontend.</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t>If the AI service is unavailable or returns unusable output, Syn switches to a standard mode that preserves objective results, structured result cards, predefined explanations, simulation filtering, and basic plan templates.</w:t>
      </w:r>
    </w:p>
    <w:p w:rsidR="00000000" w:rsidDel="00000000" w:rsidP="00000000" w:rsidRDefault="00000000" w:rsidRPr="00000000" w14:paraId="0000004E">
      <w:pPr>
        <w:spacing w:after="120" w:before="0" w:line="276" w:lineRule="auto"/>
        <w:jc w:val="both"/>
        <w:rPr/>
      </w:pPr>
      <w:r>
        <w:t>This scenario is intentionally narrow. It demonstrates the complete non-AI workflow first and then shows how Syn adds value through grounded explanation and reflection without becoming a single point of failure for the core application.</w:t>
      </w:r>
    </w:p>
    <w:p w:rsidR="00000000" w:rsidDel="00000000" w:rsidP="00000000" w:rsidRDefault="00000000" w:rsidRPr="00000000" w14:paraId="0000004F">
      <w:pPr>
        <w:pStyle w:val="Heading2"/>
        <w:spacing w:after="100" w:before="100" w:line="276" w:lineRule="auto"/>
        <w:jc w:val="both"/>
        <w:rPr/>
      </w:pPr>
      <w:r w:rsidDel="00000000" w:rsidR="00000000" w:rsidRPr="00000000">
        <w:rPr>
          <w:rtl w:val="0"/>
        </w:rPr>
        <w:t xml:space="preserve">1.4. Functional responsibility of AI</w:t>
      </w:r>
    </w:p>
    <w:p w:rsidR="00000000" w:rsidDel="00000000" w:rsidP="00000000" w:rsidRDefault="00000000" w:rsidRPr="00000000" w14:paraId="00000050">
      <w:pPr>
        <w:spacing w:after="120" w:before="0" w:line="276" w:lineRule="auto"/>
        <w:jc w:val="both"/>
        <w:rPr/>
      </w:pPr>
      <w:r>
        <w:t>AI is introduced only where probabilistic language generation provides value beyond deterministic application logic. Syn may explain approved evidence, compare exploration signals, ask reflective questions, and draft a possible exploration plan. It is not used for authentication, unrestricted database access, objective scoring, skill certification, career prediction, or any operation that requires predictable and reproducible behavior. Saving an exploration plan requires explicit student confirmation.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51">
            <w:pPr>
              <w:jc w:val="both"/>
              <w:rPr/>
            </w:pPr>
            <w:r w:rsidDel="00000000" w:rsidR="00000000" w:rsidRPr="00000000">
              <w:rPr>
                <w:rFonts w:ascii="Times New Roman" w:cs="Times New Roman" w:eastAsia="Times New Roman" w:hAnsi="Times New Roman"/>
                <w:b w:val="1"/>
                <w:bCs w:val="1"/>
                <w:sz w:val="22"/>
                <w:szCs w:val="22"/>
                <w:rtl w:val="0"/>
              </w:rPr>
              <w:t xml:space="preserve">System Function</w:t>
            </w:r>
            <w:r w:rsidDel="00000000" w:rsidR="00000000" w:rsidRPr="00000000">
              <w:rPr>
                <w:rtl w:val="0"/>
              </w:rPr>
            </w:r>
          </w:p>
        </w:tc>
        <w:tc>
          <w:tcPr>
            <w:vAlign w:val="center"/>
          </w:tcPr>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b w:val="1"/>
                <w:bCs w:val="1"/>
                <w:sz w:val="22"/>
                <w:szCs w:val="22"/>
                <w:rtl w:val="0"/>
              </w:rPr>
              <w:t xml:space="preserve">AI Usage</w:t>
            </w:r>
            <w:r w:rsidDel="00000000" w:rsidR="00000000" w:rsidRPr="00000000">
              <w:rPr>
                <w:rtl w:val="0"/>
              </w:rPr>
            </w:r>
          </w:p>
        </w:tc>
        <w:tc>
          <w:tcPr>
            <w:vAlign w:val="center"/>
          </w:tcPr>
          <w:p w:rsidR="00000000" w:rsidDel="00000000" w:rsidP="00000000" w:rsidRDefault="00000000" w:rsidRPr="00000000" w14:paraId="00000053">
            <w:pPr>
              <w:jc w:val="both"/>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c>
          <w:tcPr>
            <w:tcW w:type="dxa" w:w="3120"/>
          </w:tcPr>
          <w:p>
            <w:r>
              <w:t>RIASEC assessment</w:t>
            </w:r>
          </w:p>
        </w:tc>
        <w:tc>
          <w:tcPr>
            <w:tcW w:type="dxa" w:w="3120"/>
          </w:tcPr>
          <w:p>
            <w:r>
              <w:t>No AI dependency for scoring; Syn may explain the completed result on request.</w:t>
            </w:r>
          </w:p>
        </w:tc>
        <w:tc>
          <w:tcPr>
            <w:tcW w:type="dxa" w:w="3120"/>
          </w:tcPr>
          <w:p>
            <w:r>
              <w:t>Scores remain deterministic and auditable.</w:t>
            </w:r>
          </w:p>
        </w:tc>
      </w:tr>
      <w:tr>
        <w:tc>
          <w:tcPr>
            <w:tcW w:type="dxa" w:w="3120"/>
          </w:tcPr>
          <w:p>
            <w:r>
              <w:t>Simulation evaluation</w:t>
            </w:r>
          </w:p>
        </w:tc>
        <w:tc>
          <w:tcPr>
            <w:tcW w:type="dxa" w:w="3120"/>
          </w:tcPr>
          <w:p>
            <w:r>
              <w:t>No AI dependency for scoring.</w:t>
            </w:r>
          </w:p>
        </w:tc>
        <w:tc>
          <w:tcPr>
            <w:tcW w:type="dxa" w:w="3120"/>
          </w:tcPr>
          <w:p>
            <w:r>
              <w:t>Objective evaluation remains reproducible and answer keys stay server-side.</w:t>
            </w:r>
          </w:p>
        </w:tc>
      </w:tr>
      <w:tr>
        <w:tc>
          <w:tcPr>
            <w:tcW w:type="dxa" w:w="3120"/>
          </w:tcPr>
          <w:p>
            <w:r>
              <w:t>Dashboard and result details</w:t>
            </w:r>
          </w:p>
        </w:tc>
        <w:tc>
          <w:tcPr>
            <w:tcW w:type="dxa" w:w="3120"/>
          </w:tcPr>
          <w:p>
            <w:r>
              <w:t>No LLM required.</w:t>
            </w:r>
          </w:p>
        </w:tc>
        <w:tc>
          <w:tcPr>
            <w:tcW w:type="dxa" w:w="3120"/>
          </w:tcPr>
          <w:p>
            <w:r>
              <w:t>Progress, scores, skill statuses, and evidence cards come directly from validated backend data.</w:t>
            </w:r>
          </w:p>
        </w:tc>
      </w:tr>
      <w:tr>
        <w:tc>
          <w:tcPr>
            <w:tcW w:type="dxa" w:w="3120"/>
          </w:tcPr>
          <w:p>
            <w:r>
              <w:t>Syn explanation and comparison</w:t>
            </w:r>
          </w:p>
        </w:tc>
        <w:tc>
          <w:tcPr>
            <w:tcW w:type="dxa" w:w="3120"/>
          </w:tcPr>
          <w:p>
            <w:r>
              <w:t>A bounded LLM call may explain or compare authorized evidence.</w:t>
            </w:r>
          </w:p>
        </w:tc>
        <w:tc>
          <w:tcPr>
            <w:tcW w:type="dxa" w:w="3120"/>
          </w:tcPr>
          <w:p>
            <w:r>
              <w:t>Natural language adds value while schema and evidence validation constrain the response.</w:t>
            </w:r>
          </w:p>
        </w:tc>
      </w:tr>
      <w:tr>
        <w:tc>
          <w:tcPr>
            <w:tcW w:type="dxa" w:w="3120"/>
          </w:tcPr>
          <w:p>
            <w:r>
              <w:t>Exploration-plan drafting</w:t>
            </w:r>
          </w:p>
        </w:tc>
        <w:tc>
          <w:tcPr>
            <w:tcW w:type="dxa" w:w="3120"/>
          </w:tcPr>
          <w:p>
            <w:r>
              <w:t>Syn may draft options; saving requires explicit confirmation.</w:t>
            </w:r>
          </w:p>
        </w:tc>
        <w:tc>
          <w:tcPr>
            <w:tcW w:type="dxa" w:w="3120"/>
          </w:tcPr>
          <w:p>
            <w:r>
              <w:t>The student controls the plan and final decision.</w:t>
            </w:r>
          </w:p>
        </w:tc>
      </w:tr>
      <w:tr>
        <w:tc>
          <w:tcPr>
            <w:tcW w:type="dxa" w:w="3120"/>
          </w:tcPr>
          <w:p>
            <w:r>
              <w:t>AI unavailable or unusable</w:t>
            </w:r>
          </w:p>
        </w:tc>
        <w:tc>
          <w:tcPr>
            <w:tcW w:type="dxa" w:w="3120"/>
          </w:tcPr>
          <w:p>
            <w:r>
              <w:t>Deterministic standard mode.</w:t>
            </w:r>
          </w:p>
        </w:tc>
        <w:tc>
          <w:tcPr>
            <w:tcW w:type="dxa" w:w="3120"/>
          </w:tcPr>
          <w:p>
            <w:r>
              <w:t>Preserves results, result cards, predefined explanations, simulation filters, and basic plan templates.</w:t>
            </w:r>
          </w:p>
        </w:tc>
      </w:tr>
    </w:tbl>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1"/>
        <w:spacing w:after="100" w:before="160" w:line="276" w:lineRule="auto"/>
        <w:jc w:val="center"/>
        <w:rPr/>
      </w:pPr>
      <w:r w:rsidDel="00000000" w:rsidR="00000000" w:rsidRPr="00000000">
        <w:rPr>
          <w:rtl w:val="0"/>
        </w:rPr>
        <w:t xml:space="preserve">CHAPTER 2: SYSTEM DESIGN</w:t>
      </w:r>
    </w:p>
    <w:p w:rsidR="00000000" w:rsidDel="00000000" w:rsidP="00000000" w:rsidRDefault="00000000" w:rsidRPr="00000000" w14:paraId="00000065">
      <w:pPr>
        <w:jc w:val="center"/>
        <w:rPr/>
      </w:pPr>
      <w:r>
        <w:drawing>
          <wp:inline>
            <wp:extent cx="6126480" cy="3446145"/>
            <wp:docPr id="3" name="Picture 3"/>
            <wp:cNvGraphicFramePr>
              <a:graphicFrameLocks noChangeAspect="1"/>
            </wp:cNvGraphicFramePr>
            <a:graphic>
              <a:graphicData uri="http://schemas.openxmlformats.org/drawingml/2006/picture">
                <pic:pic>
                  <pic:nvPicPr>
                    <pic:cNvPr id="0" name="syn-system-architecture.png"/>
                    <pic:cNvPicPr/>
                  </pic:nvPicPr>
                  <pic:blipFill>
                    <a:blip r:embed="rId10"/>
                    <a:stretch>
                      <a:fillRect/>
                    </a:stretch>
                  </pic:blipFill>
                  <pic:spPr>
                    <a:xfrm>
                      <a:off x="0" y="0"/>
                      <a:ext cx="6126480" cy="3446145"/>
                    </a:xfrm>
                    <a:prstGeom prst="rect"/>
                  </pic:spPr>
                </pic:pic>
              </a:graphicData>
            </a:graphic>
          </wp:inline>
        </w:drawing>
      </w:r>
    </w:p>
    <w:p w:rsidR="00000000" w:rsidDel="00000000" w:rsidP="00000000" w:rsidRDefault="00000000" w:rsidRPr="00000000" w14:paraId="00000066">
      <w:pPr>
        <w:jc w:val="center"/>
        <w:rPr/>
      </w:pPr>
      <w:r w:rsidDel="00000000" w:rsidR="00000000" w:rsidRPr="00000000">
        <w:rPr>
          <w:rtl w:val="0"/>
        </w:rPr>
        <w:t xml:space="preserve">Figure 1. System architecture</w:t>
      </w:r>
      <w:r w:rsidDel="00000000" w:rsidR="00000000" w:rsidRPr="00000000">
        <w:rPr>
          <w:rtl w:val="0"/>
        </w:rPr>
      </w:r>
    </w:p>
    <w:p w:rsidR="00000000" w:rsidDel="00000000" w:rsidP="00000000" w:rsidRDefault="00000000" w:rsidRPr="00000000" w14:paraId="00000067">
      <w:pPr>
        <w:pStyle w:val="Heading2"/>
        <w:spacing w:after="100" w:before="100" w:line="276" w:lineRule="auto"/>
        <w:jc w:val="both"/>
        <w:rPr/>
      </w:pPr>
      <w:r w:rsidDel="00000000" w:rsidR="00000000" w:rsidRPr="00000000">
        <w:rPr>
          <w:rtl w:val="0"/>
        </w:rPr>
        <w:t xml:space="preserve">2.1. Architectural approach</w:t>
      </w:r>
    </w:p>
    <w:p w:rsidR="00000000" w:rsidDel="00000000" w:rsidP="00000000" w:rsidRDefault="00000000" w:rsidRPr="00000000" w14:paraId="0000006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proposed system adopts a layered monolithic architecture with clear internal modules. The frontend and backend are deployed as separate application components, while the backend contains the principal business modules and exposes REST APIs. The initial conceptual flow is:</w:t>
      </w:r>
      <w:r w:rsidDel="00000000" w:rsidR="00000000" w:rsidRPr="00000000">
        <w:rPr>
          <w:rtl w:val="0"/>
        </w:rPr>
      </w:r>
    </w:p>
    <w:p w:rsidR="00000000" w:rsidDel="00000000" w:rsidP="00000000" w:rsidRDefault="00000000" w:rsidRPr="00000000" w14:paraId="00000069">
      <w:pPr>
        <w:spacing w:after="120" w:before="0" w:line="276" w:lineRule="auto"/>
        <w:jc w:val="both"/>
        <w:rPr/>
      </w:pPr>
      <w:sdt>
        <w:sdtPr>
          <w:id w:val="-1444613590"/>
          <w:tag w:val="goog_rdk_0"/>
        </w:sdtPr>
        <w:sdtContent>
          <w:r w:rsidDel="00000000" w:rsidR="00000000" w:rsidRPr="00000000">
            <w:rPr>
              <w:rFonts w:ascii="Gungsuh" w:cs="Gungsuh" w:eastAsia="Gungsuh" w:hAnsi="Gungsuh"/>
              <w:b w:val="0"/>
              <w:bCs w:val="0"/>
              <w:i w:val="1"/>
              <w:iCs w:val="1"/>
              <w:sz w:val="26"/>
              <w:szCs w:val="26"/>
              <w:rtl w:val="0"/>
            </w:rPr>
            <w:t xml:space="preserve">React + Vite → Spring Boot REST API → Service Layer → Repository Layer → PostgreSQL</w:t>
            <w:br w:type="textWrapping"/>
            <w:t xml:space="preserve">                                                     └→ AI Service → LLM API</w:t>
          </w:r>
        </w:sdtContent>
      </w:sdt>
      <w:r w:rsidDel="00000000" w:rsidR="00000000" w:rsidRPr="00000000">
        <w:rPr>
          <w:rtl w:val="0"/>
        </w:rPr>
      </w:r>
    </w:p>
    <w:p w:rsidR="00000000" w:rsidDel="00000000" w:rsidP="00000000" w:rsidRDefault="00000000" w:rsidRPr="00000000" w14:paraId="0000006A">
      <w:pPr>
        <w:spacing w:after="120" w:before="0" w:line="276" w:lineRule="auto"/>
        <w:jc w:val="both"/>
        <w:rPr/>
      </w:pPr>
      <w:r>
        <w:t>The backend is organized into modules such as identity, assessment, simulation, guidance, enterprise management, common infrastructure, and system operations. The guidance module owns Syn orchestration, provider adaptation, schema validation, provenance, and deterministic fallback while obtaining authorized evidence through focused assessment and simulation access interfaces. This organization keeps business responsibilities separated without introducing the operational complexity of multiple independently deployed services.</w:t>
      </w:r>
    </w:p>
    <w:p w:rsidR="00000000" w:rsidDel="00000000" w:rsidP="00000000" w:rsidRDefault="00000000" w:rsidRPr="00000000" w14:paraId="0000006B">
      <w:pPr>
        <w:pStyle w:val="Heading2"/>
        <w:spacing w:after="100" w:before="100" w:line="276" w:lineRule="auto"/>
        <w:jc w:val="both"/>
        <w:rPr/>
      </w:pPr>
      <w:r w:rsidDel="00000000" w:rsidR="00000000" w:rsidRPr="00000000">
        <w:rPr>
          <w:rtl w:val="0"/>
        </w:rPr>
        <w:t xml:space="preserve">2.2. Modular monolith architecture</w:t>
      </w:r>
      <w:r w:rsidDel="00000000" w:rsidR="00000000" w:rsidRPr="00000000">
        <w:rPr>
          <w:rtl w:val="0"/>
        </w:rPr>
      </w:r>
    </w:p>
    <w:tbl>
      <w:tblPr>
        <w:tblStyle w:val="Table3"/>
        <w:tblW w:w="9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805"/>
        <w:gridCol w:w="2190"/>
        <w:gridCol w:w="2310"/>
        <w:tblGridChange w:id="0">
          <w:tblGrid>
            <w:gridCol w:w="1950"/>
            <w:gridCol w:w="2805"/>
            <w:gridCol w:w="2190"/>
            <w:gridCol w:w="2310"/>
          </w:tblGrid>
        </w:tblGridChange>
      </w:tblGrid>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2"/>
                <w:szCs w:val="22"/>
                <w:rtl w:val="0"/>
              </w:rPr>
              <w:t xml:space="preserve">Architecture</w:t>
            </w:r>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2"/>
                <w:szCs w:val="22"/>
                <w:rtl w:val="0"/>
              </w:rPr>
              <w:t xml:space="preserve">Suitability for this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before="0" w:line="240" w:lineRule="auto"/>
              <w:jc w:val="both"/>
              <w:rPr/>
            </w:pPr>
            <w:r w:rsidDel="00000000" w:rsidR="00000000" w:rsidRPr="00000000">
              <w:rPr>
                <w:sz w:val="22"/>
                <w:szCs w:val="22"/>
                <w:rtl w:val="0"/>
              </w:rPr>
              <w:t xml:space="preserve">Modular m</w:t>
            </w:r>
            <w:r w:rsidDel="00000000" w:rsidR="00000000" w:rsidRPr="00000000">
              <w:rPr>
                <w:rFonts w:ascii="Times New Roman" w:cs="Times New Roman" w:eastAsia="Times New Roman" w:hAnsi="Times New Roman"/>
                <w:sz w:val="22"/>
                <w:szCs w:val="22"/>
                <w:rtl w:val="0"/>
              </w:rPr>
              <w:t xml:space="preserve">onolith</w:t>
            </w:r>
            <w:r w:rsidDel="00000000" w:rsidR="00000000" w:rsidRPr="00000000">
              <w:rPr>
                <w:rtl w:val="0"/>
              </w:rPr>
            </w:r>
          </w:p>
        </w:tc>
        <w:tc>
          <w:tcPr>
            <w:vAlign w:val="center"/>
          </w:tcPr>
          <w:p w:rsidR="00000000" w:rsidDel="00000000" w:rsidP="00000000" w:rsidRDefault="00000000" w:rsidRPr="00000000" w14:paraId="0000007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Simple deployment; clear separation of concerns; easy debugging; low operational overhead; suitable for a small team.</w:t>
            </w:r>
            <w:r w:rsidDel="00000000" w:rsidR="00000000" w:rsidRPr="00000000">
              <w:rPr>
                <w:rtl w:val="0"/>
              </w:rPr>
            </w:r>
          </w:p>
        </w:tc>
        <w:tc>
          <w:tcPr>
            <w:vAlign w:val="center"/>
          </w:tcPr>
          <w:p w:rsidR="00000000" w:rsidDel="00000000" w:rsidP="00000000" w:rsidRDefault="00000000" w:rsidRPr="00000000" w14:paraId="0000007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Scaling is less granular and modules share one runtime.</w:t>
            </w:r>
            <w:r w:rsidDel="00000000" w:rsidR="00000000" w:rsidRPr="00000000">
              <w:rPr>
                <w:rtl w:val="0"/>
              </w:rPr>
            </w:r>
          </w:p>
        </w:tc>
        <w:tc>
          <w:tcPr>
            <w:vAlign w:val="center"/>
          </w:tcPr>
          <w:p w:rsidR="00000000" w:rsidDel="00000000" w:rsidP="00000000" w:rsidRDefault="00000000" w:rsidRPr="00000000" w14:paraId="0000007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Best balance between engineering quality and eight-week 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Microservices</w:t>
            </w:r>
            <w:r w:rsidDel="00000000" w:rsidR="00000000" w:rsidRPr="00000000">
              <w:rPr>
                <w:rtl w:val="0"/>
              </w:rPr>
            </w:r>
          </w:p>
        </w:tc>
        <w:tc>
          <w:tcPr>
            <w:vAlign w:val="center"/>
          </w:tcPr>
          <w:p w:rsidR="00000000" w:rsidDel="00000000" w:rsidP="00000000" w:rsidRDefault="00000000" w:rsidRPr="00000000" w14:paraId="0000007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Independent deployment and scaling; strong service isolation.</w:t>
            </w:r>
            <w:r w:rsidDel="00000000" w:rsidR="00000000" w:rsidRPr="00000000">
              <w:rPr>
                <w:rtl w:val="0"/>
              </w:rPr>
            </w:r>
          </w:p>
        </w:tc>
        <w:tc>
          <w:tcPr>
            <w:vAlign w:val="center"/>
          </w:tcPr>
          <w:p w:rsidR="00000000" w:rsidDel="00000000" w:rsidP="00000000" w:rsidRDefault="00000000" w:rsidRPr="00000000" w14:paraId="0000007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services, networking, API contracts, monitoring, deployment, and failure modes.</w:t>
            </w:r>
            <w:r w:rsidDel="00000000" w:rsidR="00000000" w:rsidRPr="00000000">
              <w:rPr>
                <w:rtl w:val="0"/>
              </w:rPr>
            </w:r>
          </w:p>
        </w:tc>
        <w:tc>
          <w:tcPr>
            <w:vAlign w:val="center"/>
          </w:tcPr>
          <w:p w:rsidR="00000000" w:rsidDel="00000000" w:rsidP="00000000" w:rsidRDefault="00000000" w:rsidRPr="00000000" w14:paraId="0000007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The MVP has neither the scale nor organizational need to justify the added 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Serverless-first</w:t>
            </w:r>
            <w:r w:rsidDel="00000000" w:rsidR="00000000" w:rsidRPr="00000000">
              <w:rPr>
                <w:rtl w:val="0"/>
              </w:rPr>
            </w:r>
          </w:p>
        </w:tc>
        <w:tc>
          <w:tcPr>
            <w:vAlign w:val="center"/>
          </w:tcPr>
          <w:p w:rsidR="00000000" w:rsidDel="00000000" w:rsidP="00000000" w:rsidRDefault="00000000" w:rsidRPr="00000000" w14:paraId="0000007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Low infrastructure management and elastic execution.</w:t>
            </w:r>
            <w:r w:rsidDel="00000000" w:rsidR="00000000" w:rsidRPr="00000000">
              <w:rPr>
                <w:rtl w:val="0"/>
              </w:rPr>
            </w:r>
          </w:p>
        </w:tc>
        <w:tc>
          <w:tcPr>
            <w:vAlign w:val="center"/>
          </w:tcPr>
          <w:p w:rsidR="00000000" w:rsidDel="00000000" w:rsidP="00000000" w:rsidRDefault="00000000" w:rsidRPr="00000000" w14:paraId="0000007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Architecture becomes more dependent on platform-specific services and execution constraints.</w:t>
            </w:r>
            <w:r w:rsidDel="00000000" w:rsidR="00000000" w:rsidRPr="00000000">
              <w:rPr>
                <w:rtl w:val="0"/>
              </w:rPr>
            </w:r>
          </w:p>
        </w:tc>
        <w:tc>
          <w:tcPr>
            <w:vAlign w:val="center"/>
          </w:tcPr>
          <w:p w:rsidR="00000000" w:rsidDel="00000000" w:rsidP="00000000" w:rsidRDefault="00000000" w:rsidRPr="00000000" w14:paraId="0000007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architecture because the project aims to demonstrate a conventional backend and deployment stack as well as application logic.</w:t>
            </w:r>
            <w:r w:rsidDel="00000000" w:rsidR="00000000" w:rsidRPr="00000000">
              <w:rPr>
                <w:rtl w:val="0"/>
              </w:rPr>
            </w:r>
          </w:p>
        </w:tc>
      </w:tr>
    </w:tbl>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architectural decision follows the course principle of selecting technology according to problem constraints rather than choosing the most sophisticated architecture. Microservices may become reasonable if future growth produces independently scalable domains or requires separate operational ownership, but that condition does not exist in the initial MVP.</w:t>
      </w:r>
      <w:r w:rsidDel="00000000" w:rsidR="00000000" w:rsidRPr="00000000">
        <w:rPr>
          <w:rtl w:val="0"/>
        </w:rPr>
      </w:r>
    </w:p>
    <w:p w:rsidR="00000000" w:rsidDel="00000000" w:rsidP="00000000" w:rsidRDefault="00000000" w:rsidRPr="00000000" w14:paraId="0000007E">
      <w:pPr>
        <w:pStyle w:val="Heading2"/>
        <w:spacing w:after="100" w:before="100" w:line="276" w:lineRule="auto"/>
        <w:jc w:val="both"/>
        <w:rPr/>
      </w:pPr>
      <w:r w:rsidDel="00000000" w:rsidR="00000000" w:rsidRPr="00000000">
        <w:rPr>
          <w:rtl w:val="0"/>
        </w:rPr>
        <w:t xml:space="preserve">2.3. Frontend technologies</w:t>
      </w:r>
    </w:p>
    <w:p w:rsidR="00000000" w:rsidDel="00000000" w:rsidP="00000000" w:rsidRDefault="00000000" w:rsidRPr="00000000" w14:paraId="0000007F">
      <w:pPr>
        <w:spacing w:after="120" w:before="0" w:line="276" w:lineRule="auto"/>
        <w:jc w:val="both"/>
        <w:rPr/>
      </w:pPr>
      <w:r>
        <w:t>React with Vite is selected for the frontend because the application contains highly interactive workflows, including multi-step assessment, simulation tasks, a concise student Dashboard, and the Syn conversation interface. The Dashboard summarizes progress, top RIASEC signals, practised skills, recent simulation results, and the current exploration plan. Syn provides context-aware quick actions, a conversation area, structured result cards, and a visible current-context indicator. A standalone Skill Evidence Report and a separate ResultDetailPage are outside the current MVP; detailed results are presented within Syn when requested. React provides a component-based structure for these stateful interfaces, while Vite provides a lightweight development and build workflow suitable for a small project.</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React + Vite</w:t>
            </w:r>
            <w:r w:rsidDel="00000000" w:rsidR="00000000" w:rsidRPr="00000000">
              <w:rPr>
                <w:rtl w:val="0"/>
              </w:rPr>
            </w:r>
          </w:p>
        </w:tc>
        <w:tc>
          <w:tcPr>
            <w:vAlign w:val="center"/>
          </w:tcPr>
          <w:p w:rsidR="00000000" w:rsidDel="00000000" w:rsidP="00000000" w:rsidRDefault="00000000" w:rsidRPr="00000000" w14:paraId="0000008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Strong component model; suitable for interactive state; lightweight build setup; large ecosystem.</w:t>
            </w:r>
            <w:r w:rsidDel="00000000" w:rsidR="00000000" w:rsidRPr="00000000">
              <w:rPr>
                <w:rtl w:val="0"/>
              </w:rPr>
            </w:r>
          </w:p>
        </w:tc>
        <w:tc>
          <w:tcPr>
            <w:vAlign w:val="center"/>
          </w:tcPr>
          <w:p w:rsidR="00000000" w:rsidDel="00000000" w:rsidP="00000000" w:rsidRDefault="00000000" w:rsidRPr="00000000" w14:paraId="0000008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Requires separate backend and explicit client-side routing/state decisions.</w:t>
            </w:r>
            <w:r w:rsidDel="00000000" w:rsidR="00000000" w:rsidRPr="00000000">
              <w:rPr>
                <w:rtl w:val="0"/>
              </w:rPr>
            </w:r>
          </w:p>
        </w:tc>
        <w:tc>
          <w:tcPr>
            <w:vAlign w:val="center"/>
          </w:tcPr>
          <w:p w:rsidR="00000000" w:rsidDel="00000000" w:rsidP="00000000" w:rsidRDefault="00000000" w:rsidRPr="00000000" w14:paraId="0000008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for the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Next.js</w:t>
            </w:r>
            <w:r w:rsidDel="00000000" w:rsidR="00000000" w:rsidRPr="00000000">
              <w:rPr>
                <w:rtl w:val="0"/>
              </w:rPr>
            </w:r>
          </w:p>
        </w:tc>
        <w:tc>
          <w:tcPr>
            <w:vAlign w:val="center"/>
          </w:tcPr>
          <w:p w:rsidR="00000000" w:rsidDel="00000000" w:rsidP="00000000" w:rsidRDefault="00000000" w:rsidRPr="00000000" w14:paraId="0000008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SSR/SSG, routing, full-stack capabilities, strong production ecosystem.</w:t>
            </w:r>
            <w:r w:rsidDel="00000000" w:rsidR="00000000" w:rsidRPr="00000000">
              <w:rPr>
                <w:rtl w:val="0"/>
              </w:rPr>
            </w:r>
          </w:p>
        </w:tc>
        <w:tc>
          <w:tcPr>
            <w:vAlign w:val="center"/>
          </w:tcPr>
          <w:p w:rsidR="00000000" w:rsidDel="00000000" w:rsidP="00000000" w:rsidRDefault="00000000" w:rsidRPr="00000000" w14:paraId="0000008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Introduces capabilities that are not required for this MVP; SSR/SEO provide limited benefit for a logged-in application.</w:t>
            </w:r>
            <w:r w:rsidDel="00000000" w:rsidR="00000000" w:rsidRPr="00000000">
              <w:rPr>
                <w:rtl w:val="0"/>
              </w:rPr>
            </w:r>
          </w:p>
        </w:tc>
        <w:tc>
          <w:tcPr>
            <w:vAlign w:val="center"/>
          </w:tcPr>
          <w:p w:rsidR="00000000" w:rsidDel="00000000" w:rsidP="00000000" w:rsidRDefault="00000000" w:rsidRPr="00000000" w14:paraId="0000008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frontend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Plain HTML/CSS/JavaScript</w:t>
            </w:r>
            <w:r w:rsidDel="00000000" w:rsidR="00000000" w:rsidRPr="00000000">
              <w:rPr>
                <w:rtl w:val="0"/>
              </w:rPr>
            </w:r>
          </w:p>
        </w:tc>
        <w:tc>
          <w:tcPr>
            <w:vAlign w:val="center"/>
          </w:tcPr>
          <w:p w:rsidR="00000000" w:rsidDel="00000000" w:rsidP="00000000" w:rsidRDefault="00000000" w:rsidRPr="00000000" w14:paraId="0000008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Minimal dependencies and simple deployment.</w:t>
            </w:r>
            <w:r w:rsidDel="00000000" w:rsidR="00000000" w:rsidRPr="00000000">
              <w:rPr>
                <w:rtl w:val="0"/>
              </w:rPr>
            </w:r>
          </w:p>
        </w:tc>
        <w:tc>
          <w:tcPr>
            <w:vAlign w:val="center"/>
          </w:tcPr>
          <w:p w:rsidR="00000000" w:rsidDel="00000000" w:rsidP="00000000" w:rsidRDefault="00000000" w:rsidRPr="00000000" w14:paraId="0000008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convenient for a multi-screen, stateful application with reusable components.</w:t>
            </w:r>
            <w:r w:rsidDel="00000000" w:rsidR="00000000" w:rsidRPr="00000000">
              <w:rPr>
                <w:rtl w:val="0"/>
              </w:rPr>
            </w:r>
          </w:p>
        </w:tc>
        <w:tc>
          <w:tcPr>
            <w:vAlign w:val="center"/>
          </w:tcPr>
          <w:p w:rsidR="00000000" w:rsidDel="00000000" w:rsidP="00000000" w:rsidRDefault="00000000" w:rsidRPr="00000000" w14:paraId="0000008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Possible for a very small prototype, but less suitable for the final workflow.</w:t>
            </w:r>
            <w:r w:rsidDel="00000000" w:rsidR="00000000" w:rsidRPr="00000000">
              <w:rPr>
                <w:rtl w:val="0"/>
              </w:rPr>
            </w:r>
          </w:p>
        </w:tc>
      </w:tr>
    </w:tbl>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spacing w:after="100" w:before="100" w:line="276" w:lineRule="auto"/>
        <w:jc w:val="both"/>
        <w:rPr/>
      </w:pPr>
      <w:r w:rsidDel="00000000" w:rsidR="00000000" w:rsidRPr="00000000">
        <w:rPr>
          <w:rtl w:val="0"/>
        </w:rPr>
        <w:t xml:space="preserve">2.4. Backend technologies</w:t>
      </w:r>
    </w:p>
    <w:p w:rsidR="00000000" w:rsidDel="00000000" w:rsidP="00000000" w:rsidRDefault="00000000" w:rsidRPr="00000000" w14:paraId="0000009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Java 17 with Spring Boot is selected as the backend platform. The application contains authentication, validation, business rules, persistent data management, simulation evaluation, and integration with an external AI service. Spring Boot provides a mature structure for separating controllers, services, and repositories and is therefore well aligned with the need for explicit application-layer responsibilities.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Java 17 + Spring Boot</w:t>
            </w:r>
            <w:r w:rsidDel="00000000" w:rsidR="00000000" w:rsidRPr="00000000">
              <w:rPr>
                <w:rtl w:val="0"/>
              </w:rPr>
            </w:r>
          </w:p>
        </w:tc>
        <w:tc>
          <w:tcPr>
            <w:vAlign w:val="center"/>
          </w:tcPr>
          <w:p w:rsidR="00000000" w:rsidDel="00000000" w:rsidP="00000000" w:rsidRDefault="00000000" w:rsidRPr="00000000" w14:paraId="0000009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Strong structure for layered business applications; mature ecosystem; validation/security/data-access support; clear separation of concerns.</w:t>
            </w:r>
            <w:r w:rsidDel="00000000" w:rsidR="00000000" w:rsidRPr="00000000">
              <w:rPr>
                <w:rtl w:val="0"/>
              </w:rPr>
            </w:r>
          </w:p>
        </w:tc>
        <w:tc>
          <w:tcPr>
            <w:vAlign w:val="center"/>
          </w:tcPr>
          <w:p w:rsidR="00000000" w:rsidDel="00000000" w:rsidP="00000000" w:rsidRDefault="00000000" w:rsidRPr="00000000" w14:paraId="0000009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configuration and boilerplate than lightweight frameworks.</w:t>
            </w:r>
            <w:r w:rsidDel="00000000" w:rsidR="00000000" w:rsidRPr="00000000">
              <w:rPr>
                <w:rtl w:val="0"/>
              </w:rPr>
            </w:r>
          </w:p>
        </w:tc>
        <w:tc>
          <w:tcPr>
            <w:vAlign w:val="center"/>
          </w:tcPr>
          <w:p w:rsidR="00000000" w:rsidDel="00000000" w:rsidP="00000000" w:rsidRDefault="00000000" w:rsidRPr="00000000" w14:paraId="0000009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Node.js + Express</w:t>
            </w:r>
            <w:r w:rsidDel="00000000" w:rsidR="00000000" w:rsidRPr="00000000">
              <w:rPr>
                <w:rtl w:val="0"/>
              </w:rPr>
            </w:r>
          </w:p>
        </w:tc>
        <w:tc>
          <w:tcPr>
            <w:vAlign w:val="center"/>
          </w:tcPr>
          <w:p w:rsidR="00000000" w:rsidDel="00000000" w:rsidP="00000000" w:rsidRDefault="00000000" w:rsidRPr="00000000" w14:paraId="0000009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Fast development; simple JSON APIs; strong JavaScript ecosystem.</w:t>
            </w:r>
            <w:r w:rsidDel="00000000" w:rsidR="00000000" w:rsidRPr="00000000">
              <w:rPr>
                <w:rtl w:val="0"/>
              </w:rPr>
            </w:r>
          </w:p>
        </w:tc>
        <w:tc>
          <w:tcPr>
            <w:vAlign w:val="center"/>
          </w:tcPr>
          <w:p w:rsidR="00000000" w:rsidDel="00000000" w:rsidP="00000000" w:rsidRDefault="00000000" w:rsidRPr="00000000" w14:paraId="0000009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structurally opinionated; business-layer organization would require more conventions chosen by the team.</w:t>
            </w:r>
            <w:r w:rsidDel="00000000" w:rsidR="00000000" w:rsidRPr="00000000">
              <w:rPr>
                <w:rtl w:val="0"/>
              </w:rPr>
            </w:r>
          </w:p>
        </w:tc>
        <w:tc>
          <w:tcPr>
            <w:vAlign w:val="center"/>
          </w:tcPr>
          <w:p w:rsidR="00000000" w:rsidDel="00000000" w:rsidP="00000000" w:rsidRDefault="00000000" w:rsidRPr="00000000" w14:paraId="0000009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because AI integration is not the main reason to choose the backend runtime.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Python + FastAPI</w:t>
            </w:r>
            <w:r w:rsidDel="00000000" w:rsidR="00000000" w:rsidRPr="00000000">
              <w:rPr>
                <w:rtl w:val="0"/>
              </w:rPr>
            </w:r>
          </w:p>
        </w:tc>
        <w:tc>
          <w:tcPr>
            <w:vAlign w:val="center"/>
          </w:tcPr>
          <w:p w:rsidR="00000000" w:rsidDel="00000000" w:rsidP="00000000" w:rsidRDefault="00000000" w:rsidRPr="00000000" w14:paraId="000000A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Excellent developer productivity; strong AI/ML ecosystem; concise API development.</w:t>
            </w:r>
            <w:r w:rsidDel="00000000" w:rsidR="00000000" w:rsidRPr="00000000">
              <w:rPr>
                <w:rtl w:val="0"/>
              </w:rPr>
            </w:r>
          </w:p>
        </w:tc>
        <w:tc>
          <w:tcPr>
            <w:vAlign w:val="center"/>
          </w:tcPr>
          <w:p w:rsidR="00000000" w:rsidDel="00000000" w:rsidP="00000000" w:rsidRDefault="00000000" w:rsidRPr="00000000" w14:paraId="000000A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The project is primarily a transactional business application rather than an AI/ML system.</w:t>
            </w:r>
            <w:r w:rsidDel="00000000" w:rsidR="00000000" w:rsidRPr="00000000">
              <w:rPr>
                <w:rtl w:val="0"/>
              </w:rPr>
            </w:r>
          </w:p>
        </w:tc>
        <w:tc>
          <w:tcPr>
            <w:vAlign w:val="center"/>
          </w:tcPr>
          <w:p w:rsidR="00000000" w:rsidDel="00000000" w:rsidP="00000000" w:rsidRDefault="00000000" w:rsidRPr="00000000" w14:paraId="000000A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backend; AI remains an external service module.</w:t>
            </w:r>
            <w:r w:rsidDel="00000000" w:rsidR="00000000" w:rsidRPr="00000000">
              <w:rPr>
                <w:rtl w:val="0"/>
              </w:rPr>
            </w:r>
          </w:p>
        </w:tc>
      </w:tr>
    </w:tbl>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2"/>
        <w:spacing w:after="100" w:before="100" w:line="276" w:lineRule="auto"/>
        <w:jc w:val="both"/>
        <w:rPr/>
      </w:pPr>
      <w:r w:rsidDel="00000000" w:rsidR="00000000" w:rsidRPr="00000000">
        <w:rPr>
          <w:rtl w:val="0"/>
        </w:rPr>
        <w:t xml:space="preserve">2.5. Databases</w:t>
      </w:r>
    </w:p>
    <w:p w:rsidR="00000000" w:rsidDel="00000000" w:rsidP="00000000" w:rsidRDefault="00000000" w:rsidRPr="00000000" w14:paraId="000000A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PostgreSQL is selected because the core entities have clear relational relationships: students, assessment results, simulations, tasks, attempts, evaluation results, and enterprise-managed content. Referential integrity and transactional consistency are therefore more important than the schema flexibility of a document-oriented database.</w:t>
      </w:r>
      <w:r w:rsidDel="00000000" w:rsidR="00000000" w:rsidRPr="00000000">
        <w:rPr>
          <w:rtl w:val="0"/>
        </w:rPr>
      </w:r>
    </w:p>
    <w:p w:rsidR="00000000" w:rsidDel="00000000" w:rsidP="00000000" w:rsidRDefault="00000000" w:rsidRPr="00000000" w14:paraId="000000A6">
      <w:pPr>
        <w:spacing w:after="120" w:before="0" w:line="276" w:lineRule="auto"/>
        <w:jc w:val="both"/>
        <w:rPr/>
      </w:pPr>
      <w:r>
        <w:t>For the initial environment, PostgreSQL is provided as a Docker Compose service with a persistent volume. This keeps local and Ubuntu VM deployment reproducible while retaining a relational data model. A managed PostgreSQL service remains a future operational option if real usage justifies it.</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PostgreSQL</w:t>
            </w:r>
            <w:r w:rsidDel="00000000" w:rsidR="00000000" w:rsidRPr="00000000">
              <w:rPr>
                <w:rtl w:val="0"/>
              </w:rPr>
            </w:r>
          </w:p>
        </w:tc>
        <w:tc>
          <w:tcPr>
            <w:vAlign w:val="center"/>
          </w:tcPr>
          <w:p w:rsidR="00000000" w:rsidDel="00000000" w:rsidP="00000000" w:rsidRDefault="00000000" w:rsidRPr="00000000" w14:paraId="000000A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Relational integrity; transactions; expressive SQL; suitable for structured domain data.</w:t>
            </w:r>
            <w:r w:rsidDel="00000000" w:rsidR="00000000" w:rsidRPr="00000000">
              <w:rPr>
                <w:rtl w:val="0"/>
              </w:rPr>
            </w:r>
          </w:p>
        </w:tc>
        <w:tc>
          <w:tcPr>
            <w:vAlign w:val="center"/>
          </w:tcPr>
          <w:p w:rsidR="00000000" w:rsidDel="00000000" w:rsidP="00000000" w:rsidRDefault="00000000" w:rsidRPr="00000000" w14:paraId="000000A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Requires schema design and migrations.</w:t>
            </w:r>
            <w:r w:rsidDel="00000000" w:rsidR="00000000" w:rsidRPr="00000000">
              <w:rPr>
                <w:rtl w:val="0"/>
              </w:rPr>
            </w:r>
          </w:p>
        </w:tc>
        <w:tc>
          <w:tcPr>
            <w:vAlign w:val="center"/>
          </w:tcPr>
          <w:p w:rsidR="00000000" w:rsidDel="00000000" w:rsidP="00000000" w:rsidRDefault="00000000" w:rsidRPr="00000000" w14:paraId="000000A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MySQL</w:t>
            </w:r>
            <w:r w:rsidDel="00000000" w:rsidR="00000000" w:rsidRPr="00000000">
              <w:rPr>
                <w:rtl w:val="0"/>
              </w:rPr>
            </w:r>
          </w:p>
        </w:tc>
        <w:tc>
          <w:tcPr>
            <w:vAlign w:val="center"/>
          </w:tcPr>
          <w:p w:rsidR="00000000" w:rsidDel="00000000" w:rsidP="00000000" w:rsidRDefault="00000000" w:rsidRPr="00000000" w14:paraId="000000B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Mature relational database; widely used; simple operational model.</w:t>
            </w:r>
            <w:r w:rsidDel="00000000" w:rsidR="00000000" w:rsidRPr="00000000">
              <w:rPr>
                <w:rtl w:val="0"/>
              </w:rPr>
            </w:r>
          </w:p>
        </w:tc>
        <w:tc>
          <w:tcPr>
            <w:vAlign w:val="center"/>
          </w:tcPr>
          <w:p w:rsidR="00000000" w:rsidDel="00000000" w:rsidP="00000000" w:rsidRDefault="00000000" w:rsidRPr="00000000" w14:paraId="000000B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Technically capable, but PostgreSQL provides the required relational features without a project-specific advantage being lost.</w:t>
            </w:r>
            <w:r w:rsidDel="00000000" w:rsidR="00000000" w:rsidRPr="00000000">
              <w:rPr>
                <w:rtl w:val="0"/>
              </w:rPr>
            </w:r>
          </w:p>
        </w:tc>
        <w:tc>
          <w:tcPr>
            <w:vAlign w:val="center"/>
          </w:tcPr>
          <w:p w:rsidR="00000000" w:rsidDel="00000000" w:rsidP="00000000" w:rsidRDefault="00000000" w:rsidRPr="00000000" w14:paraId="000000B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Viable alternative, but 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MongoDB</w:t>
            </w:r>
            <w:r w:rsidDel="00000000" w:rsidR="00000000" w:rsidRPr="00000000">
              <w:rPr>
                <w:rtl w:val="0"/>
              </w:rPr>
            </w:r>
          </w:p>
        </w:tc>
        <w:tc>
          <w:tcPr>
            <w:vAlign w:val="center"/>
          </w:tcPr>
          <w:p w:rsidR="00000000" w:rsidDel="00000000" w:rsidP="00000000" w:rsidRDefault="00000000" w:rsidRPr="00000000" w14:paraId="000000B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Flexible document model; convenient for rapidly changing document structures.</w:t>
            </w:r>
            <w:r w:rsidDel="00000000" w:rsidR="00000000" w:rsidRPr="00000000">
              <w:rPr>
                <w:rtl w:val="0"/>
              </w:rPr>
            </w:r>
          </w:p>
        </w:tc>
        <w:tc>
          <w:tcPr>
            <w:vAlign w:val="center"/>
          </w:tcPr>
          <w:p w:rsidR="00000000" w:rsidDel="00000000" w:rsidP="00000000" w:rsidRDefault="00000000" w:rsidRPr="00000000" w14:paraId="000000B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natural fit for strongly related entities and transactional workflows in this MVP.</w:t>
            </w:r>
            <w:r w:rsidDel="00000000" w:rsidR="00000000" w:rsidRPr="00000000">
              <w:rPr>
                <w:rtl w:val="0"/>
              </w:rPr>
            </w:r>
          </w:p>
        </w:tc>
        <w:tc>
          <w:tcPr>
            <w:vAlign w:val="center"/>
          </w:tcPr>
          <w:p w:rsidR="00000000" w:rsidDel="00000000" w:rsidP="00000000" w:rsidRDefault="00000000" w:rsidRPr="00000000" w14:paraId="000000B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SQLite</w:t>
            </w:r>
            <w:r w:rsidDel="00000000" w:rsidR="00000000" w:rsidRPr="00000000">
              <w:rPr>
                <w:rtl w:val="0"/>
              </w:rPr>
            </w:r>
          </w:p>
        </w:tc>
        <w:tc>
          <w:tcPr>
            <w:vAlign w:val="center"/>
          </w:tcPr>
          <w:p w:rsidR="00000000" w:rsidDel="00000000" w:rsidP="00000000" w:rsidRDefault="00000000" w:rsidRPr="00000000" w14:paraId="000000B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Very simple local deployment and low operational overhead.</w:t>
            </w:r>
            <w:r w:rsidDel="00000000" w:rsidR="00000000" w:rsidRPr="00000000">
              <w:rPr>
                <w:rtl w:val="0"/>
              </w:rPr>
            </w:r>
          </w:p>
        </w:tc>
        <w:tc>
          <w:tcPr>
            <w:vAlign w:val="center"/>
          </w:tcPr>
          <w:p w:rsidR="00000000" w:rsidDel="00000000" w:rsidP="00000000" w:rsidRDefault="00000000" w:rsidRPr="00000000" w14:paraId="000000B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suitable for the intended multi-user server deployment and future growth path.</w:t>
            </w:r>
            <w:r w:rsidDel="00000000" w:rsidR="00000000" w:rsidRPr="00000000">
              <w:rPr>
                <w:rtl w:val="0"/>
              </w:rPr>
            </w:r>
          </w:p>
        </w:tc>
        <w:tc>
          <w:tcPr>
            <w:vAlign w:val="center"/>
          </w:tcPr>
          <w:p w:rsidR="00000000" w:rsidDel="00000000" w:rsidP="00000000" w:rsidRDefault="00000000" w:rsidRPr="00000000" w14:paraId="000000B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for the deployed MVP.</w:t>
            </w:r>
            <w:r w:rsidDel="00000000" w:rsidR="00000000" w:rsidRPr="00000000">
              <w:rPr>
                <w:rtl w:val="0"/>
              </w:rPr>
            </w:r>
          </w:p>
        </w:tc>
      </w:tr>
    </w:tbl>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Heading2"/>
        <w:spacing w:after="100" w:before="100" w:line="276" w:lineRule="auto"/>
        <w:jc w:val="both"/>
        <w:rPr/>
      </w:pPr>
      <w:r w:rsidDel="00000000" w:rsidR="00000000" w:rsidRPr="00000000">
        <w:rPr>
          <w:rtl w:val="0"/>
        </w:rPr>
        <w:t xml:space="preserve">2.6. AI models and integration strategies</w:t>
      </w:r>
    </w:p>
    <w:p w:rsidR="00000000" w:rsidDel="00000000" w:rsidP="00000000" w:rsidRDefault="00000000" w:rsidRPr="00000000" w14:paraId="000000BD">
      <w:pPr>
        <w:spacing w:after="120" w:before="0" w:line="276" w:lineRule="auto"/>
        <w:jc w:val="both"/>
        <w:rPr/>
      </w:pPr>
      <w:r>
        <w:t>The initial AI integration presents Syn through a backend-only, provider-independent guidance interface. Syn uses a bounded tool-based workflow rather than unrestricted autonomous execution. The exact hosted provider and model variant will be selected only after the required smoke test and model comparison, using observed response quality, schema reliability, latency, cost, and operational constraints.</w:t>
      </w:r>
    </w:p>
    <w:p w:rsidR="00000000" w:rsidDel="00000000" w:rsidP="00000000" w:rsidRDefault="00000000" w:rsidRPr="00000000" w14:paraId="000000BE">
      <w:pPr>
        <w:spacing w:after="120" w:before="0" w:line="276" w:lineRule="auto"/>
        <w:jc w:val="both"/>
        <w:rPr/>
      </w:pPr>
      <w:r>
        <w:t>The frontend never calls an LLM provider directly and never contains model credentials. Quick actions that only retrieve or display deterministic data do not call the model. For language-based explanation, comparison, or plan drafting, the backend selects the minimum authorized context, allows no more than three internal read-tool calls and one or two model inference steps, validates the returned structure, and exposes only the required response and provenance to the frontend.</w:t>
      </w:r>
    </w:p>
    <w:p w:rsidR="00000000" w:rsidDel="00000000" w:rsidP="00000000" w:rsidRDefault="00000000" w:rsidRPr="00000000" w14:paraId="000000BF">
      <w:pPr>
        <w:spacing w:after="120" w:before="0" w:line="276" w:lineRule="auto"/>
        <w:jc w:val="both"/>
        <w:rPr/>
      </w:pPr>
      <w:r>
        <w:t>This separation provides a clean path for replacing the hosted model with another provider or a local inference service later. The application depends on an internal guidance interface rather than scattering provider-specific calls throughout business modules. The MVP excludes autonomous background loops and a vector database; short session summaries and cached assessment or simulation summaries may be introduced only when measurement shows a clear need.</w:t>
      </w:r>
    </w:p>
    <w:p w:rsidR="00000000" w:rsidDel="00000000" w:rsidP="00000000" w:rsidRDefault="00000000" w:rsidRPr="00000000" w14:paraId="000000C0">
      <w:pPr>
        <w:pStyle w:val="Heading2"/>
        <w:spacing w:after="100" w:before="100" w:line="276" w:lineRule="auto"/>
        <w:jc w:val="both"/>
        <w:rPr/>
      </w:pPr>
      <w:r w:rsidDel="00000000" w:rsidR="00000000" w:rsidRPr="00000000">
        <w:rPr>
          <w:rtl w:val="0"/>
        </w:rPr>
        <w:t xml:space="preserve">2.7. AI data Flow, reliability, and fallback</w:t>
      </w:r>
    </w:p>
    <w:p w:rsidR="00000000" w:rsidDel="00000000" w:rsidP="00000000" w:rsidRDefault="00000000" w:rsidRPr="00000000" w14:paraId="000000C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proposed online flow is:</w:t>
      </w:r>
      <w:r w:rsidDel="00000000" w:rsidR="00000000" w:rsidRPr="00000000">
        <w:rPr>
          <w:rtl w:val="0"/>
        </w:rPr>
      </w:r>
    </w:p>
    <w:p w:rsidR="00000000" w:rsidDel="00000000" w:rsidP="00000000" w:rsidRDefault="00000000" w:rsidRPr="00000000" w14:paraId="000000C2">
      <w:pPr>
        <w:spacing w:after="120" w:before="0" w:line="276" w:lineRule="auto"/>
        <w:jc w:val="both"/>
        <w:rPr/>
      </w:pPr>
      <w:sdt>
        <w:sdtPr>
          <w:id w:val="692371180"/>
          <w:tag w:val="goog_rdk_1"/>
        </w:sdtPr>
        <w:sdtContent>
          <w:r w:rsidDel="00000000" w:rsidR="00000000" w:rsidRPr="00000000">
            <w:rPr>
              <w:rFonts w:ascii="Cardo" w:cs="Cardo" w:eastAsia="Cardo" w:hAnsi="Cardo"/>
              <w:b w:val="0"/>
              <w:bCs w:val="0"/>
              <w:i w:val="1"/>
              <w:iCs w:val="1"/>
              <w:sz w:val="26"/>
              <w:szCs w:val="26"/>
              <w:rtl w:val="0"/>
            </w:rPr>
            <w:t xml:space="preserve">Frontend → Backend → PostgreSQL → AI Service → LLM → Backend → Frontend</w:t>
          </w:r>
        </w:sdtContent>
      </w:sdt>
      <w:r w:rsidDel="00000000" w:rsidR="00000000" w:rsidRPr="00000000">
        <w:rPr>
          <w:rtl w:val="0"/>
        </w:rPr>
      </w:r>
    </w:p>
    <w:p w:rsidR="00000000" w:rsidDel="00000000" w:rsidP="00000000" w:rsidRDefault="00000000" w:rsidRPr="00000000" w14:paraId="000000C3">
      <w:pPr>
        <w:spacing w:after="120" w:before="0" w:line="276" w:lineRule="auto"/>
        <w:jc w:val="both"/>
        <w:rPr/>
      </w:pPr>
      <w:r>
        <w:t>The LLM does not directly query the database. Database access remains a backend responsibility, and Syn can use only approved tools exposed by the guidance service. This boundary allows the application to enforce authorization, select relevant context, minimize unnecessary data transfer, prevent answer-key disclosure, and block unrestricted access to persistent data.</w:t>
      </w:r>
    </w:p>
    <w:p w:rsidR="00000000" w:rsidDel="00000000" w:rsidP="00000000" w:rsidRDefault="00000000" w:rsidRPr="00000000" w14:paraId="000000C4">
      <w:pPr>
        <w:spacing w:after="120" w:before="0" w:line="276" w:lineRule="auto"/>
        <w:jc w:val="both"/>
        <w:rPr/>
      </w:pPr>
      <w:r>
        <w:t>Importantly, AI is not required for the system to process or present its core data. The backend can authenticate users, retrieve records, calculate RIASEC scores, evaluate simulation answers, persist attempts, populate the Dashboard, display result details, filter simulations, and provide basic plan templates without an LLM. Syn is therefore an optional interpretation and reflection layer rather than a dependency for fundamental correctness.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sz w:val="22"/>
                <w:szCs w:val="22"/>
                <w:rtl w:val="0"/>
              </w:rPr>
              <w:t xml:space="preserve">Failure condition</w:t>
            </w: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1"/>
                <w:bCs w:val="1"/>
                <w:sz w:val="22"/>
                <w:szCs w:val="22"/>
                <w:rtl w:val="0"/>
              </w:rPr>
              <w:t xml:space="preserve">System behavior</w:t>
            </w:r>
            <w:r w:rsidDel="00000000" w:rsidR="00000000" w:rsidRPr="00000000">
              <w:rPr>
                <w:rtl w:val="0"/>
              </w:rPr>
            </w:r>
          </w:p>
        </w:tc>
        <w:tc>
          <w:tcP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r>
      <w:tr>
        <w:tc>
          <w:tcPr>
            <w:tcW w:type="dxa" w:w="3120"/>
          </w:tcPr>
          <w:p>
            <w:r>
              <w:t>LLM provider unavailable</w:t>
            </w:r>
          </w:p>
        </w:tc>
        <w:tc>
          <w:tcPr>
            <w:tcW w:type="dxa" w:w="3120"/>
          </w:tcPr>
          <w:p>
            <w:r>
              <w:t>Switch Syn to deterministic standard mode.</w:t>
            </w:r>
          </w:p>
        </w:tc>
        <w:tc>
          <w:tcPr>
            <w:tcW w:type="dxa" w:w="3120"/>
          </w:tcPr>
          <w:p>
            <w:r>
              <w:t>Dashboard, objective results, result cards, filters, and basic plan templates remain usable.</w:t>
            </w:r>
          </w:p>
        </w:tc>
      </w:tr>
      <w:tr>
        <w:tc>
          <w:tcPr>
            <w:tcW w:type="dxa" w:w="3120"/>
          </w:tcPr>
          <w:p>
            <w:r>
              <w:t>LLM timeout</w:t>
            </w:r>
          </w:p>
        </w:tc>
        <w:tc>
          <w:tcPr>
            <w:tcW w:type="dxa" w:w="3120"/>
          </w:tcPr>
          <w:p>
            <w:r>
              <w:t>Stop after the configured timeout and use deterministic standard mode.</w:t>
            </w:r>
          </w:p>
        </w:tc>
        <w:tc>
          <w:tcPr>
            <w:tcW w:type="dxa" w:w="3120"/>
          </w:tcPr>
          <w:p>
            <w:r>
              <w:t>The interface does not block indefinitely.</w:t>
            </w:r>
          </w:p>
        </w:tc>
      </w:tr>
      <w:tr>
        <w:tc>
          <w:tcPr>
            <w:tcW w:type="dxa" w:w="3120"/>
          </w:tcPr>
          <w:p>
            <w:r>
              <w:t>Invalid, malformed, or unsupported model output</w:t>
            </w:r>
          </w:p>
        </w:tc>
        <w:tc>
          <w:tcPr>
            <w:tcW w:type="dxa" w:w="3120"/>
          </w:tcPr>
          <w:p>
            <w:r>
              <w:t>Reject the response through schema and evidence validation and use standard mode.</w:t>
            </w:r>
          </w:p>
        </w:tc>
        <w:tc>
          <w:tcPr>
            <w:tcW w:type="dxa" w:w="3120"/>
          </w:tcPr>
          <w:p>
            <w:r>
              <w:t>Unsupported AI content is not displayed or persisted.</w:t>
            </w:r>
          </w:p>
        </w:tc>
      </w:tr>
      <w:tr>
        <w:tc>
          <w:tcPr>
            <w:tcW w:type="dxa" w:w="3120"/>
          </w:tcPr>
          <w:p>
            <w:r>
              <w:t>Prompt injection, out-of-domain request, or unauthorized tool request</w:t>
            </w:r>
          </w:p>
        </w:tc>
        <w:tc>
          <w:tcPr>
            <w:tcW w:type="dxa" w:w="3120"/>
          </w:tcPr>
          <w:p>
            <w:r>
              <w:t>Ignore untrusted instructions, deny the action, and disclose no internal prompt, answer key, or unrelated record.</w:t>
            </w:r>
          </w:p>
        </w:tc>
        <w:tc>
          <w:tcPr>
            <w:tcW w:type="dxa" w:w="3120"/>
          </w:tcPr>
          <w:p>
            <w:r>
              <w:t>Syn remains within its exploration-assistant boundary.</w:t>
            </w:r>
          </w:p>
        </w:tc>
      </w:tr>
      <w:tr>
        <w:tc>
          <w:tcPr>
            <w:tcW w:type="dxa" w:w="3120"/>
          </w:tcPr>
          <w:p>
            <w:r>
              <w:t>Plan save requested</w:t>
            </w:r>
          </w:p>
        </w:tc>
        <w:tc>
          <w:tcPr>
            <w:tcW w:type="dxa" w:w="3120"/>
          </w:tcPr>
          <w:p>
            <w:r>
              <w:t>Require explicit student confirmation before calling the approved write tool.</w:t>
            </w:r>
          </w:p>
        </w:tc>
        <w:tc>
          <w:tcPr>
            <w:tcW w:type="dxa" w:w="3120"/>
          </w:tcPr>
          <w:p>
            <w:r>
              <w:t>No AI-generated plan is persisted silently.</w:t>
            </w:r>
          </w:p>
        </w:tc>
      </w:tr>
      <w:tr>
        <w:tc>
          <w:tcPr>
            <w:tcW w:type="dxa" w:w="3120"/>
          </w:tcPr>
          <w:p>
            <w:r>
              <w:t>Internet connection lost</w:t>
            </w:r>
          </w:p>
        </w:tc>
        <w:tc>
          <w:tcPr>
            <w:tcW w:type="dxa" w:w="3120"/>
          </w:tcPr>
          <w:p>
            <w:r>
              <w:t>Hosted AI becomes unavailable; the locally deployed application and PostgreSQL service continue where local connectivity permits.</w:t>
            </w:r>
          </w:p>
        </w:tc>
        <w:tc>
          <w:tcPr>
            <w:tcW w:type="dxa" w:w="3120"/>
          </w:tcPr>
          <w:p>
            <w:r>
              <w:t>Full offline operation is not guaranteed, but local deterministic features do not depend on the LLM.</w:t>
            </w:r>
          </w:p>
        </w:tc>
      </w:tr>
      <w:tr>
        <w:tc>
          <w:tcPr>
            <w:tcW w:type="dxa" w:w="3120"/>
          </w:tcPr>
          <w:p>
            <w:r>
              <w:t>Need for stronger privacy or offline inference in future</w:t>
            </w:r>
          </w:p>
        </w:tc>
        <w:tc>
          <w:tcPr>
            <w:tcW w:type="dxa" w:w="3120"/>
          </w:tcPr>
          <w:p>
            <w:r>
              <w:t>Introduce a local inference option behind the same guidance interface after capacity and privacy evaluation.</w:t>
            </w:r>
          </w:p>
        </w:tc>
        <w:tc>
          <w:tcPr>
            <w:tcW w:type="dxa" w:w="3120"/>
          </w:tcPr>
          <w:p>
            <w:r>
              <w:t>Possible future architecture, not part of the initial eight-week MVP.</w:t>
            </w:r>
          </w:p>
        </w:tc>
      </w:tr>
    </w:tbl>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spacing w:after="120" w:before="0" w:line="276" w:lineRule="auto"/>
        <w:jc w:val="both"/>
        <w:rPr/>
      </w:pPr>
      <w:r>
        <w:t>A local LLM is treated as a future deployment option rather than the immediate fallback. Using a local model as the primary recovery path would require additional packaging, hardware capacity, model selection, latency evaluation, and operational testing. For an eight-week MVP, Syn standard mode provides a more reliable and explainable recovery mechanism through deterministic result cards, predefined explanations, simulation filters, and plan templates.</w:t>
      </w:r>
    </w:p>
    <w:p w:rsidR="00000000" w:rsidDel="00000000" w:rsidP="00000000" w:rsidRDefault="00000000" w:rsidRPr="00000000" w14:paraId="000000D9">
      <w:pPr>
        <w:pStyle w:val="Heading2"/>
        <w:spacing w:after="100" w:before="100" w:line="276" w:lineRule="auto"/>
        <w:jc w:val="both"/>
        <w:rPr/>
      </w:pPr>
      <w:r w:rsidDel="00000000" w:rsidR="00000000" w:rsidRPr="00000000">
        <w:rPr>
          <w:rtl w:val="0"/>
        </w:rPr>
        <w:t xml:space="preserve">2.8. Deployment strategy</w:t>
      </w:r>
    </w:p>
    <w:p w:rsidR="00000000" w:rsidDel="00000000" w:rsidP="00000000" w:rsidRDefault="00000000" w:rsidRPr="00000000" w14:paraId="000000D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deployment target is an Ubuntu Server virtual machine hosted on the team's Windows environment. Docker Compose is used to package and run the application services, while Nginx acts as the reverse proxy. The resulting deployment path is conceptually:</w:t>
      </w:r>
      <w:r w:rsidDel="00000000" w:rsidR="00000000" w:rsidRPr="00000000">
        <w:rPr>
          <w:rtl w:val="0"/>
        </w:rPr>
      </w:r>
    </w:p>
    <w:p w:rsidR="00000000" w:rsidDel="00000000" w:rsidP="00000000" w:rsidRDefault="00000000" w:rsidRPr="00000000" w14:paraId="000000DB">
      <w:pPr>
        <w:spacing w:after="120" w:before="0" w:line="276" w:lineRule="auto"/>
        <w:jc w:val="center"/>
        <w:rPr/>
      </w:pPr>
      <w:r>
        <w:rPr>
          <w:i/>
        </w:rPr>
        <w:t>Windows Host -&gt; Ubuntu Server VM -&gt; Docker Compose (Nginx, React, Spring Boot, PostgreSQL + persistent volume) -&gt; External LLM provider through the backend guidance adapter</w:t>
      </w:r>
    </w:p>
    <w:p w:rsidR="00000000" w:rsidDel="00000000" w:rsidP="00000000" w:rsidRDefault="00000000" w:rsidRPr="00000000" w14:paraId="000000D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deployment choice is intentional. A PaaS such as Render can reduce setup and operational work, but the course project also evaluates whether students understand deployment, containerization, networking, configuration, and service operation. Building the environment on an Ubuntu VM allows the team to demonstrate installation, package management, environment configuration, container startup and restart, logs, and basic failure recovery rather than only demonstrating that an application has been uploaded to a managed platform.</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2"/>
                <w:szCs w:val="22"/>
                <w:rtl w:val="0"/>
              </w:rPr>
              <w:t xml:space="preserve">Deployment option</w:t>
            </w: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sz w:val="22"/>
                <w:szCs w:val="22"/>
                <w:rtl w:val="0"/>
              </w:rPr>
              <w:t xml:space="preserve">Initial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Ubuntu VM + Docker Compose + Nginx</w:t>
            </w:r>
            <w:r w:rsidDel="00000000" w:rsidR="00000000" w:rsidRPr="00000000">
              <w:rPr>
                <w:rtl w:val="0"/>
              </w:rPr>
            </w:r>
          </w:p>
        </w:tc>
        <w:tc>
          <w:tcPr>
            <w:vAlign w:val="center"/>
          </w:tcPr>
          <w:p w:rsidR="00000000" w:rsidDel="00000000" w:rsidP="00000000" w:rsidRDefault="00000000" w:rsidRPr="00000000" w14:paraId="000000E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High learning value; reproducible containers; visible networking and server operations; suitable for a small deployment.</w:t>
            </w:r>
            <w:r w:rsidDel="00000000" w:rsidR="00000000" w:rsidRPr="00000000">
              <w:rPr>
                <w:rtl w:val="0"/>
              </w:rPr>
            </w:r>
          </w:p>
        </w:tc>
        <w:tc>
          <w:tcPr>
            <w:vAlign w:val="center"/>
          </w:tcPr>
          <w:p w:rsidR="00000000" w:rsidDel="00000000" w:rsidP="00000000" w:rsidRDefault="00000000" w:rsidRPr="00000000" w14:paraId="000000E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manual setup and maintenance; limited scalability.</w:t>
            </w:r>
            <w:r w:rsidDel="00000000" w:rsidR="00000000" w:rsidRPr="00000000">
              <w:rPr>
                <w:rtl w:val="0"/>
              </w:rPr>
            </w:r>
          </w:p>
        </w:tc>
        <w:tc>
          <w:tcPr>
            <w:vAlign w:val="center"/>
          </w:tcPr>
          <w:p w:rsidR="00000000" w:rsidDel="00000000" w:rsidP="00000000" w:rsidRDefault="00000000" w:rsidRPr="00000000" w14:paraId="000000E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for the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PaaS (e.g., Render)</w:t>
            </w:r>
            <w:r w:rsidDel="00000000" w:rsidR="00000000" w:rsidRPr="00000000">
              <w:rPr>
                <w:rtl w:val="0"/>
              </w:rPr>
            </w:r>
          </w:p>
        </w:tc>
        <w:tc>
          <w:tcPr>
            <w:vAlign w:val="center"/>
          </w:tcPr>
          <w:p w:rsidR="00000000" w:rsidDel="00000000" w:rsidP="00000000" w:rsidRDefault="00000000" w:rsidRPr="00000000" w14:paraId="000000E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Fast deployment; less infrastructure management.</w:t>
            </w:r>
            <w:r w:rsidDel="00000000" w:rsidR="00000000" w:rsidRPr="00000000">
              <w:rPr>
                <w:rtl w:val="0"/>
              </w:rPr>
            </w:r>
          </w:p>
        </w:tc>
        <w:tc>
          <w:tcPr>
            <w:vAlign w:val="center"/>
          </w:tcPr>
          <w:p w:rsidR="00000000" w:rsidDel="00000000" w:rsidP="00000000" w:rsidRDefault="00000000" w:rsidRPr="00000000" w14:paraId="000000E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control and less evidence of low-level deployment operations.</w:t>
            </w:r>
            <w:r w:rsidDel="00000000" w:rsidR="00000000" w:rsidRPr="00000000">
              <w:rPr>
                <w:rtl w:val="0"/>
              </w:rPr>
            </w:r>
          </w:p>
        </w:tc>
        <w:tc>
          <w:tcPr>
            <w:vAlign w:val="center"/>
          </w:tcPr>
          <w:p w:rsidR="00000000" w:rsidDel="00000000" w:rsidP="00000000" w:rsidRDefault="00000000" w:rsidRPr="00000000" w14:paraId="000000E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Alternative if VM deployment becomes a blocker.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Kubernetes</w:t>
            </w:r>
            <w:r w:rsidDel="00000000" w:rsidR="00000000" w:rsidRPr="00000000">
              <w:rPr>
                <w:rtl w:val="0"/>
              </w:rPr>
            </w:r>
          </w:p>
        </w:tc>
        <w:tc>
          <w:tcPr>
            <w:vAlign w:val="center"/>
          </w:tcPr>
          <w:p w:rsidR="00000000" w:rsidDel="00000000" w:rsidP="00000000" w:rsidRDefault="00000000" w:rsidRPr="00000000" w14:paraId="000000E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Advanced orchestration, scaling, service discovery, and self-healing.</w:t>
            </w:r>
            <w:r w:rsidDel="00000000" w:rsidR="00000000" w:rsidRPr="00000000">
              <w:rPr>
                <w:rtl w:val="0"/>
              </w:rPr>
            </w:r>
          </w:p>
        </w:tc>
        <w:tc>
          <w:tcPr>
            <w:vAlign w:val="center"/>
          </w:tcPr>
          <w:p w:rsidR="00000000" w:rsidDel="00000000" w:rsidP="00000000" w:rsidRDefault="00000000" w:rsidRPr="00000000" w14:paraId="000000E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High operational complexity and unnecessary overhead for a small monolith.</w:t>
            </w:r>
            <w:r w:rsidDel="00000000" w:rsidR="00000000" w:rsidRPr="00000000">
              <w:rPr>
                <w:rtl w:val="0"/>
              </w:rPr>
            </w:r>
          </w:p>
        </w:tc>
        <w:tc>
          <w:tcPr>
            <w:vAlign w:val="center"/>
          </w:tcPr>
          <w:p w:rsidR="00000000" w:rsidDel="00000000" w:rsidP="00000000" w:rsidRDefault="00000000" w:rsidRPr="00000000" w14:paraId="000000E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justified for the eight-week MVP.</w:t>
            </w:r>
            <w:r w:rsidDel="00000000" w:rsidR="00000000" w:rsidRPr="00000000">
              <w:rPr>
                <w:rtl w:val="0"/>
              </w:rPr>
            </w:r>
          </w:p>
        </w:tc>
      </w:tr>
    </w:tbl>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spacing w:after="100" w:before="100" w:line="276" w:lineRule="auto"/>
        <w:jc w:val="both"/>
        <w:rPr/>
      </w:pPr>
      <w:r w:rsidDel="00000000" w:rsidR="00000000" w:rsidRPr="00000000">
        <w:rPr>
          <w:rtl w:val="0"/>
        </w:rPr>
        <w:t xml:space="preserve">2.9. Scaling and future evolution</w:t>
      </w:r>
    </w:p>
    <w:p w:rsidR="00000000" w:rsidDel="00000000" w:rsidP="00000000" w:rsidRDefault="00000000" w:rsidRPr="00000000" w14:paraId="000000E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architecture is designed for a small number of users and for demonstrating engineering capability within a constrained academic schedule. If adoption increases, the system should evolve incrementally rather than immediately replacing the monolith with a distributed architecture.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Move the application from the development VM to a production cloud VM or managed container platform with appropriate monitoring and backup.</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a managed PostgreSQL deployment with stronger backup, connection management, and resource scaling.</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Introduce Redis or an equivalent cache only when profiling identifies repeated or expensive reads that justify caching.</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Scale backend instances horizontally behind a load balancer when concurrent demand requires it, while keeping the application stateless where practical.</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t>Separate resource-intensive or independently scalable components, such as Syn inference processing or background jobs, into dedicated services only when operational evidence justifies the split.</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Adopt container orchestration such as Kubernetes only when the number of services, deployment frequency, availability requirements, or scaling needs make orchestration economically and technically justified.</w:t>
      </w:r>
    </w:p>
    <w:p w:rsidR="00000000" w:rsidDel="00000000" w:rsidP="00000000" w:rsidRDefault="00000000" w:rsidRPr="00000000" w14:paraId="000000F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progression preserves the principle that architecture should respond to actual constraints. The monolith is therefore not considered a permanent limitation; it is the appropriate starting point for the current scale, team size, and course schedule.</w:t>
      </w:r>
      <w:r w:rsidDel="00000000" w:rsidR="00000000" w:rsidRPr="00000000">
        <w:rPr>
          <w:rtl w:val="0"/>
        </w:rPr>
      </w:r>
    </w:p>
    <w:p w:rsidR="00000000" w:rsidDel="00000000" w:rsidP="00000000" w:rsidRDefault="00000000" w:rsidRPr="00000000" w14:paraId="000000F7">
      <w:pPr>
        <w:pStyle w:val="Heading1"/>
        <w:spacing w:after="100" w:before="160" w:line="276" w:lineRule="auto"/>
        <w:jc w:val="center"/>
        <w:rPr/>
      </w:pPr>
      <w:r w:rsidDel="00000000" w:rsidR="00000000" w:rsidRPr="00000000">
        <w:rPr>
          <w:rtl w:val="0"/>
        </w:rPr>
        <w:t xml:space="preserve">CHAPTER 3: IMPLEMENTATION</w:t>
      </w:r>
    </w:p>
    <w:p w:rsidR="00000000" w:rsidDel="00000000" w:rsidP="00000000" w:rsidRDefault="00000000" w:rsidRPr="00000000" w14:paraId="000000F8">
      <w:pPr>
        <w:spacing w:after="120" w:before="0" w:line="276" w:lineRule="auto"/>
        <w:jc w:val="both"/>
        <w:rPr/>
      </w:pPr>
      <w:r>
        <w:t>The backlog follows the course's required development sequence: establish the conventional application baseline first, implement deterministic assessment, simulation, Dashboard, and result-detail behavior, then integrate the bounded Syn workflow, and reserve the final stage for stabilization, evaluation, and evidence.</w:t>
      </w:r>
    </w:p>
    <w:tbl>
      <w:tblPr>
        <w:tblStyle w:val="Table9"/>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3240"/>
        <w:gridCol w:w="1935"/>
        <w:gridCol w:w="2790"/>
        <w:tblGridChange w:id="0">
          <w:tblGrid>
            <w:gridCol w:w="1485"/>
            <w:gridCol w:w="3240"/>
            <w:gridCol w:w="1935"/>
            <w:gridCol w:w="2790"/>
          </w:tblGrid>
        </w:tblGridChange>
      </w:tblGrid>
      <w:tr>
        <w:trPr>
          <w:cantSplit w:val="0"/>
          <w:tblHeader w:val="0"/>
        </w:trPr>
        <w:tc>
          <w:tcP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sz w:val="22"/>
                <w:szCs w:val="22"/>
                <w:rtl w:val="0"/>
              </w:rPr>
              <w:t xml:space="preserve">Week</w:t>
            </w: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sz w:val="22"/>
                <w:szCs w:val="22"/>
                <w:rtl w:val="0"/>
              </w:rPr>
              <w:t xml:space="preserve">Main Work</w:t>
            </w: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1"/>
                <w:bCs w:val="1"/>
                <w:sz w:val="22"/>
                <w:szCs w:val="22"/>
                <w:rtl w:val="0"/>
              </w:rPr>
              <w:t xml:space="preserve">Primary Owner(s)</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sz w:val="22"/>
                <w:szCs w:val="22"/>
                <w:rtl w:val="0"/>
              </w:rPr>
              <w:t xml:space="preserve">Expected Deliverable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F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Problem analysis, SRS, use cases, initial architecture, ERD, repository and development setup.</w:t>
            </w:r>
            <w:r w:rsidDel="00000000" w:rsidR="00000000" w:rsidRPr="00000000">
              <w:rPr>
                <w:rtl w:val="0"/>
              </w:rPr>
            </w:r>
          </w:p>
        </w:tc>
        <w:tc>
          <w:tcPr>
            <w:vAlign w:val="center"/>
          </w:tcPr>
          <w:p w:rsidR="00000000" w:rsidDel="00000000" w:rsidP="00000000" w:rsidRDefault="00000000" w:rsidRPr="00000000" w14:paraId="000000F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 / Team Lead</w:t>
            </w:r>
            <w:r w:rsidDel="00000000" w:rsidR="00000000" w:rsidRPr="00000000">
              <w:rPr>
                <w:rtl w:val="0"/>
              </w:rPr>
            </w:r>
          </w:p>
        </w:tc>
        <w:tc>
          <w:tcPr>
            <w:vAlign w:val="center"/>
          </w:tcPr>
          <w:p w:rsidR="00000000" w:rsidDel="00000000" w:rsidP="00000000" w:rsidRDefault="00000000" w:rsidRPr="00000000" w14:paraId="0000010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Approved problem brief, repository, initial requirements and design artifacts.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0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Authentication, student profile, database schema and migration setup.</w:t>
            </w:r>
            <w:r w:rsidDel="00000000" w:rsidR="00000000" w:rsidRPr="00000000">
              <w:rPr>
                <w:rtl w:val="0"/>
              </w:rPr>
            </w:r>
          </w:p>
        </w:tc>
        <w:tc>
          <w:tcPr>
            <w:vAlign w:val="center"/>
          </w:tcPr>
          <w:p w:rsidR="00000000" w:rsidDel="00000000" w:rsidP="00000000" w:rsidRDefault="00000000" w:rsidRPr="00000000" w14:paraId="0000010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w:t>
            </w:r>
            <w:r w:rsidDel="00000000" w:rsidR="00000000" w:rsidRPr="00000000">
              <w:rPr>
                <w:rtl w:val="0"/>
              </w:rPr>
            </w:r>
          </w:p>
        </w:tc>
        <w:tc>
          <w:tcPr>
            <w:vAlign w:val="center"/>
          </w:tcPr>
          <w:p w:rsidR="00000000" w:rsidDel="00000000" w:rsidP="00000000" w:rsidRDefault="00000000" w:rsidRPr="00000000" w14:paraId="0000010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Working authentication/profile baseline and persistent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0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RIASEC assessment, scoring logic, frontend assessment workflow.</w:t>
            </w:r>
            <w:r w:rsidDel="00000000" w:rsidR="00000000" w:rsidRPr="00000000">
              <w:rPr>
                <w:rtl w:val="0"/>
              </w:rPr>
            </w:r>
          </w:p>
        </w:tc>
        <w:tc>
          <w:tcPr>
            <w:vAlign w:val="center"/>
          </w:tcPr>
          <w:p w:rsidR="00000000" w:rsidDel="00000000" w:rsidP="00000000" w:rsidRDefault="00000000" w:rsidRPr="00000000" w14:paraId="0000010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Frontend</w:t>
            </w:r>
            <w:r w:rsidDel="00000000" w:rsidR="00000000" w:rsidRPr="00000000">
              <w:rPr>
                <w:rtl w:val="0"/>
              </w:rPr>
            </w:r>
          </w:p>
        </w:tc>
        <w:tc>
          <w:tcPr>
            <w:vAlign w:val="center"/>
          </w:tcPr>
          <w:p w:rsidR="00000000" w:rsidDel="00000000" w:rsidP="00000000" w:rsidRDefault="00000000" w:rsidRPr="00000000" w14:paraId="0000010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Working assessment and deterministic scoring.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0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Career simulation engine, task workflow, objective evaluation and non-AI vertical slice.</w:t>
            </w:r>
            <w:r w:rsidDel="00000000" w:rsidR="00000000" w:rsidRPr="00000000">
              <w:rPr>
                <w:rtl w:val="0"/>
              </w:rPr>
            </w:r>
          </w:p>
        </w:tc>
        <w:tc>
          <w:tcPr>
            <w:vAlign w:val="center"/>
          </w:tcPr>
          <w:p w:rsidR="00000000" w:rsidDel="00000000" w:rsidP="00000000" w:rsidRDefault="00000000" w:rsidRPr="00000000" w14:paraId="0000010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Frontend</w:t>
            </w:r>
            <w:r w:rsidDel="00000000" w:rsidR="00000000" w:rsidRPr="00000000">
              <w:rPr>
                <w:rtl w:val="0"/>
              </w:rPr>
            </w:r>
          </w:p>
        </w:tc>
        <w:tc>
          <w:tcPr>
            <w:vAlign w:val="center"/>
          </w:tcPr>
          <w:p w:rsidR="00000000" w:rsidDel="00000000" w:rsidP="00000000" w:rsidRDefault="00000000" w:rsidRPr="00000000" w14:paraId="0000010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Complete non-AI student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0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Enterprise dashboard, simulation management, integration refinement and baseline testing.</w:t>
            </w:r>
            <w:r w:rsidDel="00000000" w:rsidR="00000000" w:rsidRPr="00000000">
              <w:rPr>
                <w:rtl w:val="0"/>
              </w:rPr>
            </w:r>
          </w:p>
        </w:tc>
        <w:tc>
          <w:tcPr>
            <w:vAlign w:val="center"/>
          </w:tcPr>
          <w:p w:rsidR="00000000" w:rsidDel="00000000" w:rsidP="00000000" w:rsidRDefault="00000000" w:rsidRPr="00000000" w14:paraId="0000010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Frontend + Backend</w:t>
            </w:r>
            <w:r w:rsidDel="00000000" w:rsidR="00000000" w:rsidRPr="00000000">
              <w:rPr>
                <w:rtl w:val="0"/>
              </w:rPr>
            </w:r>
          </w:p>
        </w:tc>
        <w:tc>
          <w:tcPr>
            <w:vAlign w:val="center"/>
          </w:tcPr>
          <w:p w:rsidR="00000000" w:rsidDel="00000000" w:rsidP="00000000" w:rsidRDefault="00000000" w:rsidRPr="00000000" w14:paraId="0000011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Frontend-backend-data baseline ready for AI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vAlign w:val="center"/>
          </w:tcPr>
          <w:p>
            <w:r>
              <w:t>LLM experiment, model comparison, Syn bounded-agent integration, structured output, provenance, and deterministic fallback.</w:t>
            </w:r>
          </w:p>
        </w:tc>
        <w:tc>
          <w:tcPr>
            <w:vAlign w:val="center"/>
          </w:tcPr>
          <w:p w:rsidR="00000000" w:rsidDel="00000000" w:rsidP="00000000" w:rsidRDefault="00000000" w:rsidRPr="00000000" w14:paraId="0000011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AI + Backend</w:t>
            </w:r>
            <w:r w:rsidDel="00000000" w:rsidR="00000000" w:rsidRPr="00000000">
              <w:rPr>
                <w:rtl w:val="0"/>
              </w:rPr>
            </w:r>
          </w:p>
        </w:tc>
        <w:tc>
          <w:tcPr>
            <w:vAlign w:val="center"/>
          </w:tcPr>
          <w:p>
            <w:r>
              <w:t>Baseline Syn capability with approved tools, evaluation cases, confirmation controls, and failure handling.</w:t>
            </w:r>
          </w:p>
        </w:tc>
      </w:tr>
      <w:tr>
        <w:trPr>
          <w:cantSplit w:val="0"/>
          <w:tblHeader w:val="0"/>
        </w:trPr>
        <w:tc>
          <w:tcPr>
            <w:vAlign w:val="center"/>
          </w:tcPr>
          <w:p w:rsidR="00000000" w:rsidDel="00000000" w:rsidP="00000000" w:rsidRDefault="00000000" w:rsidRPr="00000000" w14:paraId="00000115">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vAlign w:val="center"/>
          </w:tcPr>
          <w:p>
            <w:r>
              <w:t>Syn integration hardening, testing, Dockerization, Ubuntu VM deployment, and operational evidence.</w:t>
            </w:r>
          </w:p>
        </w:tc>
        <w:tc>
          <w:tcPr>
            <w:vAlign w:val="center"/>
          </w:tcPr>
          <w:p w:rsidR="00000000" w:rsidDel="00000000" w:rsidP="00000000" w:rsidRDefault="00000000" w:rsidRPr="00000000" w14:paraId="0000011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DevOps</w:t>
            </w:r>
            <w:r w:rsidDel="00000000" w:rsidR="00000000" w:rsidRPr="00000000">
              <w:rPr>
                <w:rtl w:val="0"/>
              </w:rPr>
            </w:r>
          </w:p>
        </w:tc>
        <w:tc>
          <w:tcPr>
            <w:vAlign w:val="center"/>
          </w:tcPr>
          <w:p w:rsidR="00000000" w:rsidDel="00000000" w:rsidP="00000000" w:rsidRDefault="00000000" w:rsidRPr="00000000" w14:paraId="0000011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Deployed release candidate and deployment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1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User testing, smoke test evidence, defect fixing, documentation, final architecture diagram and presentation.</w:t>
            </w:r>
            <w:r w:rsidDel="00000000" w:rsidR="00000000" w:rsidRPr="00000000">
              <w:rPr>
                <w:rtl w:val="0"/>
              </w:rPr>
            </w:r>
          </w:p>
        </w:tc>
        <w:tc>
          <w:tcPr>
            <w:vAlign w:val="center"/>
          </w:tcPr>
          <w:p w:rsidR="00000000" w:rsidDel="00000000" w:rsidP="00000000" w:rsidRDefault="00000000" w:rsidRPr="00000000" w14:paraId="0000011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Whole Team</w:t>
            </w:r>
            <w:r w:rsidDel="00000000" w:rsidR="00000000" w:rsidRPr="00000000">
              <w:rPr>
                <w:rtl w:val="0"/>
              </w:rPr>
            </w:r>
          </w:p>
        </w:tc>
        <w:tc>
          <w:tcPr>
            <w:vAlign w:val="center"/>
          </w:tcPr>
          <w:p w:rsidR="00000000" w:rsidDel="00000000" w:rsidP="00000000" w:rsidRDefault="00000000" w:rsidRPr="00000000" w14:paraId="0000011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Feature-frozen final release and complete evidence package.</w:t>
            </w:r>
            <w:r w:rsidDel="00000000" w:rsidR="00000000" w:rsidRPr="00000000">
              <w:rPr>
                <w:rtl w:val="0"/>
              </w:rPr>
            </w:r>
          </w:p>
        </w:tc>
      </w:tr>
    </w:tbl>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pStyle w:val="Heading1"/>
        <w:spacing w:after="100" w:before="160" w:line="276" w:lineRule="auto"/>
        <w:jc w:val="center"/>
        <w:rPr/>
      </w:pPr>
      <w:r w:rsidDel="00000000" w:rsidR="00000000" w:rsidRPr="00000000">
        <w:rPr>
          <w:rtl w:val="0"/>
        </w:rPr>
        <w:t xml:space="preserve">CHAPTER 4: LLM SMOKE TEST AND EVALUATION PLAN</w:t>
      </w:r>
    </w:p>
    <w:p w:rsidR="00000000" w:rsidDel="00000000" w:rsidP="00000000" w:rsidRDefault="00000000" w:rsidRPr="00000000" w14:paraId="0000011F">
      <w:pPr>
        <w:jc w:val="both"/>
        <w:rPr/>
      </w:pPr>
      <w:r w:rsidDel="00000000" w:rsidR="00000000" w:rsidRPr="00000000">
        <w:rPr>
          <w:rtl w:val="0"/>
        </w:rPr>
        <w:t xml:space="preserve">The instructor-provided LLM smoke-test script or notebook will be executed after the initial proposal has established the intended AI role. The proposal deliberately does not fabricate latency, response quality, or model-performance values. These values will be recorded from the actual experiment.</w:t>
      </w:r>
    </w:p>
    <w:p w:rsidR="00000000" w:rsidDel="00000000" w:rsidP="00000000" w:rsidRDefault="00000000" w:rsidRPr="00000000" w14:paraId="00000120">
      <w:pPr>
        <w:pStyle w:val="Heading2"/>
        <w:jc w:val="both"/>
        <w:rPr>
          <w:color w:val="000000"/>
        </w:rPr>
      </w:pPr>
      <w:bookmarkStart w:colFirst="0" w:colLast="0" w:name="_heading=h.1bkfonga6jlv" w:id="0"/>
      <w:bookmarkEnd w:id="0"/>
      <w:r w:rsidDel="00000000" w:rsidR="00000000" w:rsidRPr="00000000">
        <w:rPr>
          <w:color w:val="000000"/>
          <w:rtl w:val="0"/>
        </w:rPr>
        <w:t xml:space="preserve">4.1. Proposed AI capability, expected benefit, failure risk, and non-AI fallback</w:t>
      </w:r>
    </w:p>
    <w:p w:rsidR="00000000" w:rsidDel="00000000" w:rsidP="00000000" w:rsidRDefault="00000000" w:rsidRPr="00000000" w14:paraId="00000121">
      <w:pPr>
        <w:jc w:val="both"/>
        <w:rPr/>
      </w:pPr>
      <w:r>
        <w:t>Regarding the proposed AI capability:</w:t>
      </w:r>
    </w:p>
    <w:p w:rsidR="00000000" w:rsidDel="00000000" w:rsidP="00000000" w:rsidRDefault="00000000" w:rsidRPr="00000000" w14:paraId="00000122">
      <w:pPr>
        <w:numPr>
          <w:ilvl w:val="0"/>
          <w:numId w:val="7"/>
        </w:numPr>
        <w:spacing w:after="0" w:afterAutospacing="0"/>
        <w:ind w:left="850.3937007874017" w:hanging="360"/>
        <w:jc w:val="both"/>
        <w:rPr>
          <w:u w:val="none"/>
        </w:rPr>
      </w:pPr>
      <w:r>
        <w:t>The system introduces Syn, whose name is derived from synergy: the connection among a student's interest signals, simulation evidence, and personal reflection. Syn is presented as "Your CareerSim exploration assistant" rather than as a coach, counsellor, teacher, or career decision maker.</w:t>
      </w:r>
    </w:p>
    <w:p w:rsidR="00000000" w:rsidDel="00000000" w:rsidP="00000000" w:rsidRDefault="00000000" w:rsidRPr="00000000" w14:paraId="00000123">
      <w:pPr>
        <w:numPr>
          <w:ilvl w:val="0"/>
          <w:numId w:val="7"/>
        </w:numPr>
        <w:spacing w:after="0" w:afterAutospacing="0"/>
        <w:ind w:left="850.3937007874017" w:hanging="360"/>
        <w:jc w:val="both"/>
        <w:rPr>
          <w:u w:val="none"/>
        </w:rPr>
      </w:pPr>
      <w:r>
        <w:t>When requested and permitted, Syn receives only the relevant RIASEC signals, objective simulation outcomes, practised-skill evidence, and confirmed exploration-plan context selected by the backend.</w:t>
      </w:r>
    </w:p>
    <w:p w:rsidR="00000000" w:rsidDel="00000000" w:rsidP="00000000" w:rsidRDefault="00000000" w:rsidRPr="00000000" w14:paraId="00000124">
      <w:pPr>
        <w:numPr>
          <w:ilvl w:val="0"/>
          <w:numId w:val="7"/>
        </w:numPr>
        <w:ind w:left="850.3937007874017" w:hanging="360"/>
        <w:jc w:val="both"/>
        <w:rPr>
          <w:u w:val="none"/>
        </w:rPr>
      </w:pPr>
      <w:r>
        <w:t>From this controlled context, Syn can explain existing results, compare interests with practised skills, identify uncertainty or missing evidence, ask reflective questions, suggest possible simulations or preparation activities, and draft a preliminary exploration plan. These outputs are references for student reflection and do not certify competence or determine suitability for a career.</w:t>
      </w:r>
    </w:p>
    <w:p w:rsidR="00000000" w:rsidDel="00000000" w:rsidP="00000000" w:rsidRDefault="00000000" w:rsidRPr="00000000" w14:paraId="00000125">
      <w:pPr>
        <w:jc w:val="both"/>
        <w:rPr/>
      </w:pPr>
      <w:r>
        <w:t>In terms of the expected benefit:</w:t>
      </w:r>
    </w:p>
    <w:p w:rsidR="00000000" w:rsidDel="00000000" w:rsidP="00000000" w:rsidRDefault="00000000" w:rsidRPr="00000000" w14:paraId="00000126">
      <w:pPr>
        <w:numPr>
          <w:ilvl w:val="0"/>
          <w:numId w:val="1"/>
        </w:numPr>
        <w:spacing w:after="0" w:afterAutospacing="0"/>
        <w:ind w:left="850.3937007874017" w:hanging="360"/>
        <w:jc w:val="both"/>
        <w:rPr>
          <w:u w:val="none"/>
        </w:rPr>
      </w:pPr>
      <w:r>
        <w:t>Syn can make reflection more relevant by connecting the student's current question with evidence already produced by the assessment and simulation workflows.</w:t>
      </w:r>
    </w:p>
    <w:p w:rsidR="00000000" w:rsidDel="00000000" w:rsidP="00000000" w:rsidRDefault="00000000" w:rsidRPr="00000000" w14:paraId="00000127">
      <w:pPr>
        <w:numPr>
          <w:ilvl w:val="0"/>
          <w:numId w:val="1"/>
        </w:numPr>
        <w:spacing w:after="0" w:afterAutospacing="0"/>
        <w:ind w:left="850.3937007874017" w:hanging="360"/>
        <w:jc w:val="both"/>
        <w:rPr>
          <w:u w:val="none"/>
        </w:rPr>
      </w:pPr>
      <w:r>
        <w:t>Syn can translate structured results into understandable observations, highlight where evidence agrees or conflicts, and identify areas that need more experience. It presents multiple options and uncertainty instead of declaring a career path suitable or unsuitable.</w:t>
      </w:r>
    </w:p>
    <w:p w:rsidR="00000000" w:rsidDel="00000000" w:rsidP="00000000" w:rsidRDefault="00000000" w:rsidRPr="00000000" w14:paraId="00000128">
      <w:pPr>
        <w:numPr>
          <w:ilvl w:val="0"/>
          <w:numId w:val="1"/>
        </w:numPr>
        <w:ind w:left="850.3937007874017" w:hanging="360"/>
        <w:jc w:val="both"/>
        <w:rPr>
          <w:u w:val="none"/>
        </w:rPr>
      </w:pPr>
      <w:r>
        <w:t>The conversational interface allows students to ask follow-up questions or use context-aware quick actions such as "Explain my RIASEC signals," "Review my latest result," "What needs more evidence?" and "Draft an exploration plan." Syn communicates in a friendly and understandable manner while stating its limitations and preserving student autonomy.</w:t>
      </w:r>
    </w:p>
    <w:p w:rsidR="00000000" w:rsidDel="00000000" w:rsidP="00000000" w:rsidRDefault="00000000" w:rsidRPr="00000000" w14:paraId="00000129">
      <w:pPr>
        <w:jc w:val="both"/>
        <w:rPr/>
      </w:pPr>
      <w:r>
        <w:t>The bounded agent design still introduces several failure risks:</w:t>
      </w:r>
    </w:p>
    <w:p w:rsidR="00000000" w:rsidDel="00000000" w:rsidP="00000000" w:rsidRDefault="00000000" w:rsidRPr="00000000" w14:paraId="0000012A">
      <w:pPr>
        <w:numPr>
          <w:ilvl w:val="0"/>
          <w:numId w:val="6"/>
        </w:numPr>
        <w:spacing w:after="0" w:afterAutospacing="0"/>
        <w:ind w:left="850.3937007874017" w:hanging="360"/>
        <w:jc w:val="both"/>
        <w:rPr>
          <w:u w:val="none"/>
        </w:rPr>
      </w:pPr>
      <w:r>
        <w:t>First, hallucination and overconfidence may cause Syn to mention unsupported evidence, present uncertain observations as facts, or overstate what simulation performance means in real employment contexts.</w:t>
      </w:r>
    </w:p>
    <w:p w:rsidR="00000000" w:rsidDel="00000000" w:rsidP="00000000" w:rsidRDefault="00000000" w:rsidRPr="00000000" w14:paraId="0000012B">
      <w:pPr>
        <w:numPr>
          <w:ilvl w:val="0"/>
          <w:numId w:val="6"/>
        </w:numPr>
        <w:spacing w:after="0" w:afterAutospacing="0"/>
        <w:ind w:left="850.3937007874017" w:hanging="360"/>
        <w:jc w:val="both"/>
        <w:rPr>
          <w:u w:val="none"/>
        </w:rPr>
      </w:pPr>
      <w:r>
        <w:t>Second, provider latency, timeouts, malformed output, quota limits, or temporary connection failures may delay or prevent language-based responses.</w:t>
      </w:r>
    </w:p>
    <w:p w:rsidR="00000000" w:rsidDel="00000000" w:rsidP="00000000" w:rsidRDefault="00000000" w:rsidRPr="00000000" w14:paraId="0000012C">
      <w:pPr>
        <w:numPr>
          <w:ilvl w:val="0"/>
          <w:numId w:val="6"/>
        </w:numPr>
        <w:ind w:left="850.3937007874017" w:hanging="360"/>
        <w:jc w:val="both"/>
        <w:rPr>
          <w:u w:val="none"/>
        </w:rPr>
      </w:pPr>
      <w:r>
        <w:t>Third, privacy, authorization, prompt injection, and out-of-domain requests may attempt to expose unrelated records, answer keys, internal prompts, or actions outside Syn's approved tool set.</w:t>
      </w:r>
    </w:p>
    <w:p w:rsidR="00000000" w:rsidDel="00000000" w:rsidP="00000000" w:rsidRDefault="00000000" w:rsidRPr="00000000" w14:paraId="0000012D">
      <w:pPr>
        <w:jc w:val="both"/>
        <w:rPr/>
      </w:pPr>
      <w:r>
        <w:t>To mitigate these risks, the backend minimizes context, restricts Syn to approved tools, validates structured output and referenced evidence, records provenance, requires confirmation for write actions, applies a timeout, and provides deterministic standard mode.</w:t>
      </w:r>
    </w:p>
    <w:p w:rsidR="00000000" w:rsidDel="00000000" w:rsidP="00000000" w:rsidRDefault="00000000" w:rsidRPr="00000000" w14:paraId="0000012E">
      <w:pPr>
        <w:numPr>
          <w:ilvl w:val="0"/>
          <w:numId w:val="2"/>
        </w:numPr>
        <w:spacing w:after="0" w:afterAutospacing="0"/>
        <w:ind w:left="850.3937007874017" w:hanging="360"/>
        <w:jc w:val="both"/>
        <w:rPr>
          <w:u w:val="none"/>
        </w:rPr>
      </w:pPr>
      <w:r>
        <w:t>If the LLM provider cannot be reached or produces an unusable response, the request stops at the configured limit and Syn switches to standard mode without altering objective assessment or simulation results.</w:t>
      </w:r>
    </w:p>
    <w:p w:rsidR="00000000" w:rsidDel="00000000" w:rsidP="00000000" w:rsidRDefault="00000000" w:rsidRPr="00000000" w14:paraId="0000012F">
      <w:pPr>
        <w:numPr>
          <w:ilvl w:val="0"/>
          <w:numId w:val="2"/>
        </w:numPr>
        <w:spacing w:after="0" w:afterAutospacing="0"/>
        <w:ind w:left="850.3937007874017" w:hanging="360"/>
        <w:jc w:val="both"/>
        <w:rPr>
          <w:u w:val="none"/>
        </w:rPr>
      </w:pPr>
      <w:r>
        <w:t>Standard mode uses reviewed deterministic mappings and existing backend data to display objective results, structured evidence cards, predefined explanations, simulation filters, and basic exploration-plan templates. It does not claim that the content is expert counselling unless such review is separately documented.</w:t>
      </w:r>
    </w:p>
    <w:p w:rsidR="00000000" w:rsidDel="00000000" w:rsidP="00000000" w:rsidRDefault="00000000" w:rsidRPr="00000000" w14:paraId="00000130">
      <w:pPr>
        <w:numPr>
          <w:ilvl w:val="0"/>
          <w:numId w:val="2"/>
        </w:numPr>
        <w:spacing w:after="0" w:afterAutospacing="0"/>
        <w:ind w:left="850.3937007874017" w:hanging="360"/>
        <w:jc w:val="both"/>
        <w:rPr>
          <w:u w:val="none"/>
        </w:rPr>
      </w:pPr>
      <w:r>
        <w:t>The interface transparently labels AI and fallback provenance, explains when conversational analysis is temporarily unavailable, and keeps the Dashboard and deterministic quick actions usable.</w:t>
      </w:r>
    </w:p>
    <w:p w:rsidR="00000000" w:rsidDel="00000000" w:rsidP="00000000" w:rsidRDefault="00000000" w:rsidRPr="00000000" w14:paraId="00000131">
      <w:pPr>
        <w:numPr>
          <w:ilvl w:val="0"/>
          <w:numId w:val="2"/>
        </w:numPr>
        <w:ind w:left="850.3937007874017" w:hanging="360"/>
        <w:jc w:val="both"/>
        <w:rPr>
          <w:u w:val="none"/>
        </w:rPr>
      </w:pPr>
      <w:r>
        <w:t>This mechanism preserves access to the student's objective results and basic exploration support without presenting the system as an independent counselling or certification service.</w:t>
      </w:r>
    </w:p>
    <w:p w:rsidR="00000000" w:rsidDel="00000000" w:rsidP="00000000" w:rsidRDefault="00000000" w:rsidRPr="00000000" w14:paraId="00000132">
      <w:pPr>
        <w:pStyle w:val="Heading2"/>
        <w:jc w:val="both"/>
        <w:rPr>
          <w:color w:val="000000"/>
        </w:rPr>
      </w:pPr>
      <w:bookmarkStart w:colFirst="0" w:colLast="0" w:name="_heading=h.vj22nfzzii2" w:id="1"/>
      <w:bookmarkEnd w:id="1"/>
      <w:r w:rsidDel="00000000" w:rsidR="00000000" w:rsidRPr="00000000">
        <w:rPr>
          <w:color w:val="000000"/>
          <w:rtl w:val="0"/>
        </w:rPr>
        <w:t xml:space="preserve">4.2. Smoke test evidence</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jc w:val="center"/>
              <w:rPr>
                <w:b w:val="1"/>
                <w:bCs w:val="1"/>
              </w:rPr>
            </w:pPr>
            <w:r w:rsidDel="00000000" w:rsidR="00000000" w:rsidRPr="00000000">
              <w:rPr>
                <w:b w:val="1"/>
                <w:bCs w:val="1"/>
                <w:rtl w:val="0"/>
              </w:rPr>
              <w:t xml:space="preserve">Evidence 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jc w:val="center"/>
              <w:rPr>
                <w:b w:val="1"/>
                <w:bCs w:val="1"/>
              </w:rPr>
            </w:pPr>
            <w:r w:rsidDel="00000000" w:rsidR="00000000" w:rsidRPr="00000000">
              <w:rPr>
                <w:b w:val="1"/>
                <w:bCs w:val="1"/>
                <w:rtl w:val="0"/>
              </w:rPr>
              <w:t xml:space="preserve">Planned Evidence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jc w:val="both"/>
              <w:rPr/>
            </w:pPr>
            <w:r w:rsidDel="00000000" w:rsidR="00000000" w:rsidRPr="00000000">
              <w:rPr>
                <w:rtl w:val="0"/>
              </w:rPr>
              <w:t xml:space="preserve">Prompt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Pending. Record the exact instructor-approved prompt when the smoke test is executed.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jc w:val="both"/>
              <w:rPr/>
            </w:pPr>
            <w:r w:rsidDel="00000000" w:rsidR="00000000" w:rsidRPr="00000000">
              <w:rPr>
                <w:rtl w:val="0"/>
              </w:rPr>
              <w:t xml:space="preserve">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Pending. No measured model response is claimed in this proposal.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jc w:val="both"/>
              <w:rPr/>
            </w:pPr>
            <w:r w:rsidDel="00000000" w:rsidR="00000000" w:rsidRPr="00000000">
              <w:rPr>
                <w:rtl w:val="0"/>
              </w:rPr>
              <w:t xml:space="preserve">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Pending model comparison. Record the exact provider model identifier used in the executed test.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both"/>
              <w:rPr/>
            </w:pPr>
            <w:r w:rsidDel="00000000" w:rsidR="00000000" w:rsidRPr="00000000">
              <w:rPr>
                <w:rtl w:val="0"/>
              </w:rPr>
              <w:t xml:space="preserve">Latency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Pending measurement. Record the timing method and observed latency.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both"/>
              <w:rPr/>
            </w:pPr>
            <w:r w:rsidDel="00000000" w:rsidR="00000000" w:rsidRPr="00000000">
              <w:rPr>
                <w:rtl w:val="0"/>
              </w:rPr>
              <w:t xml:space="preserve">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NOT EXECUTED. Replace only with evidence from an actual run.</w:t>
            </w:r>
          </w:p>
        </w:tc>
      </w:tr>
    </w:tbl>
    <w:p w:rsidR="00000000" w:rsidDel="00000000" w:rsidP="00000000" w:rsidRDefault="00000000" w:rsidRPr="00000000" w14:paraId="00000140">
      <w:pPr>
        <w:jc w:val="both"/>
        <w:rPr/>
      </w:pPr>
      <w:r>
        <w:t>For Syn, at least ten evaluation cases will be prepared. The set will verify evidence grounding, uncertainty handling, student autonomy, tool restrictions, write confirmation, structured-output validity, provenance, and deterministic fallback without treating model fluency as proof of correctness.</w:t>
      </w:r>
    </w:p>
    <w:p w:rsidR="00000000" w:rsidDel="00000000" w:rsidP="00000000" w:rsidRDefault="00000000" w:rsidRPr="00000000" w14:paraId="00000141">
      <w:pPr>
        <w:numPr>
          <w:ilvl w:val="0"/>
          <w:numId w:val="3"/>
        </w:numPr>
        <w:spacing w:after="0" w:afterAutospacing="0"/>
        <w:ind w:left="850.3937007874017" w:hanging="360"/>
        <w:jc w:val="both"/>
        <w:rPr>
          <w:u w:val="none"/>
        </w:rPr>
      </w:pPr>
      <w:r>
        <w:t>Normal cases include explaining differentiated RIASEC signals, reviewing a completed simulation, comparing interests with practised skills, identifying areas that need more evidence, and drafting an exploration plan from authorized data.</w:t>
      </w:r>
    </w:p>
    <w:p w:rsidR="00000000" w:rsidDel="00000000" w:rsidP="00000000" w:rsidRDefault="00000000" w:rsidRPr="00000000" w14:paraId="00000142">
      <w:pPr>
        <w:numPr>
          <w:ilvl w:val="0"/>
          <w:numId w:val="3"/>
        </w:numPr>
        <w:spacing w:after="0" w:afterAutospacing="0"/>
        <w:ind w:left="850.3937007874017" w:hanging="360"/>
        <w:jc w:val="both"/>
        <w:rPr>
          <w:u w:val="none"/>
        </w:rPr>
      </w:pPr>
      <w:r>
        <w:t>Ambiguous cases include relatively even RIASEC scores, conflicting interest and performance evidence, incomplete attempts, and limited evidence. Syn should acknowledge uncertainty, avoid definitive suitability claims, and offer reasonable ways to gather more evidence.</w:t>
      </w:r>
    </w:p>
    <w:p w:rsidR="00000000" w:rsidDel="00000000" w:rsidP="00000000" w:rsidRDefault="00000000" w:rsidRPr="00000000" w14:paraId="00000143">
      <w:pPr>
        <w:numPr>
          <w:ilvl w:val="0"/>
          <w:numId w:val="3"/>
        </w:numPr>
        <w:ind w:left="850.3937007874017" w:hanging="360"/>
        <w:jc w:val="both"/>
        <w:rPr>
          <w:u w:val="none"/>
        </w:rPr>
      </w:pPr>
      <w:r>
        <w:t>Failure cases include empty evidence, prompt injection, out-of-domain requests, unauthorized tool access, attempts to reveal answer keys, saving a plan without confirmation, timeout, provider failure, and malformed or unsupported model output. The tests must confirm that objective scores remain unchanged and that deterministic standard mode remains available.</w:t>
      </w:r>
    </w:p>
    <w:p w:rsidR="00000000" w:rsidDel="00000000" w:rsidP="00000000" w:rsidRDefault="00000000" w:rsidRPr="00000000" w14:paraId="00000144">
      <w:pPr>
        <w:pStyle w:val="Heading1"/>
        <w:spacing w:after="100" w:before="160" w:line="276" w:lineRule="auto"/>
        <w:jc w:val="center"/>
        <w:rPr/>
      </w:pPr>
      <w:r w:rsidDel="00000000" w:rsidR="00000000" w:rsidRPr="00000000">
        <w:rPr>
          <w:rtl w:val="0"/>
        </w:rPr>
        <w:t xml:space="preserve">CHAPTER 5: DISCUSSION</w:t>
      </w:r>
    </w:p>
    <w:p w:rsidR="00000000" w:rsidDel="00000000" w:rsidP="00000000" w:rsidRDefault="00000000" w:rsidRPr="00000000" w14:paraId="0000014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w:t>
      </w:r>
      <w:r w:rsidDel="00000000" w:rsidR="00000000" w:rsidRPr="00000000">
        <w:rPr>
          <w:rtl w:val="0"/>
        </w:rPr>
        <w:t xml:space="preserve">report</w:t>
      </w:r>
      <w:r w:rsidDel="00000000" w:rsidR="00000000" w:rsidRPr="00000000">
        <w:rPr>
          <w:rFonts w:ascii="Times New Roman" w:cs="Times New Roman" w:eastAsia="Times New Roman" w:hAnsi="Times New Roman"/>
          <w:b w:val="0"/>
          <w:bCs w:val="0"/>
          <w:i w:val="0"/>
          <w:iCs w:val="0"/>
          <w:sz w:val="26"/>
          <w:szCs w:val="26"/>
          <w:rtl w:val="0"/>
        </w:rPr>
        <w:t xml:space="preserve"> is intended to produce verifiable implementation evidence rather than presentation-only screenshots.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Repository URL and exact submitted commit.</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README with reproducible setup and execution instructions.</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Architecture diagram matching the implemented system.</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Runnable frontend and backend with persistent data.</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Evidence of the complete vertical-slice workflow.</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Tests or documented acceptance cases for normal and invalid behavior.</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evaluation cases, results, limitations, and failure analysis.</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assistance log and evidence of human review of generated code.</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Deployment or reproducible Ubuntu VM + Docker Compose setup.</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smoke-test prompt, actual response, model, measured latency, and result.</w:t>
      </w:r>
    </w:p>
    <w:p w:rsidR="00000000" w:rsidDel="00000000" w:rsidP="00000000" w:rsidRDefault="00000000" w:rsidRPr="00000000" w14:paraId="00000150">
      <w:pPr>
        <w:pStyle w:val="Heading1"/>
        <w:spacing w:after="100" w:before="160" w:line="276" w:lineRule="auto"/>
        <w:jc w:val="center"/>
        <w:rPr/>
      </w:pPr>
      <w:r w:rsidDel="00000000" w:rsidR="00000000" w:rsidRPr="00000000">
        <w:rPr>
          <w:rtl w:val="0"/>
        </w:rPr>
        <w:t xml:space="preserve">CHAPTER 6: CONCLUSION</w:t>
      </w:r>
    </w:p>
    <w:p w:rsidR="00000000" w:rsidDel="00000000" w:rsidP="00000000" w:rsidRDefault="00000000" w:rsidRPr="00000000" w14:paraId="00000151">
      <w:pPr>
        <w:spacing w:after="120" w:before="0" w:line="276" w:lineRule="auto"/>
        <w:jc w:val="both"/>
        <w:rPr/>
      </w:pPr>
      <w:r>
        <w:t>The proposed system addresses career exploration as an experiential and iterative process rather than as a one-time prediction task. Its MVP combines a RIASEC-based assessment, task-oriented IT career simulations, deterministic evaluation, a concise Dashboard, and Syn, an evidence-grounded exploration assistant, within a conventional web application architecture.</w:t>
      </w:r>
    </w:p>
    <w:p w:rsidR="00000000" w:rsidDel="00000000" w:rsidP="00000000" w:rsidRDefault="00000000" w:rsidRPr="00000000" w14:paraId="00000152">
      <w:pPr>
        <w:spacing w:after="120" w:before="0" w:line="276" w:lineRule="auto"/>
        <w:jc w:val="both"/>
        <w:rPr/>
      </w:pPr>
      <w:r>
        <w:t>The technical design intentionally balances capability, explainability, cost, and implementation risk. React + Vite supports the interactive frontend, Java 17 + Spring Boot provides the structured business backend, PostgreSQL supports the relational domain model, and Ubuntu VM + Docker Compose provides a practical deployment environment. Syn is isolated behind a provider-independent backend guidance interface and uses an LLM only when language-based explanation, comparison, or plan drafting adds value. Core application correctness does not depend on the LLM, and deterministic standard mode remains available when the provider fails.</w:t>
      </w:r>
    </w:p>
    <w:p w:rsidR="00000000" w:rsidDel="00000000" w:rsidP="00000000" w:rsidRDefault="00000000" w:rsidRPr="00000000" w14:paraId="00000153">
      <w:pPr>
        <w:spacing w:after="120" w:before="0" w:line="276" w:lineRule="auto"/>
        <w:jc w:val="both"/>
        <w:rPr/>
      </w:pPr>
      <w:r>
        <w:t>Future expansion can introduce measured caching, local inference, stronger cloud infrastructure, horizontal scaling, or selectively separated Syn processing when real usage and operational requirements justify those changes. The initial MVP therefore serves both as a functional career-exploration prototype and as a controlled demonstration of modern software engineering practices under an eight-week development constraint.</w:t>
      </w:r>
    </w:p>
    <w:p w:rsidR="00000000" w:rsidDel="00000000" w:rsidP="00000000" w:rsidRDefault="00000000" w:rsidRPr="00000000" w14:paraId="00000154">
      <w:pPr>
        <w:pStyle w:val="Heading1"/>
        <w:spacing w:after="100" w:before="160" w:line="276" w:lineRule="auto"/>
        <w:jc w:val="both"/>
        <w:rPr/>
      </w:pPr>
      <w:r w:rsidDel="00000000" w:rsidR="00000000" w:rsidRPr="00000000">
        <w:rPr>
          <w:rtl w:val="0"/>
        </w:rPr>
        <w:t xml:space="preserve">REFERENCES</w:t>
      </w:r>
    </w:p>
    <w:p w:rsidR="00000000" w:rsidDel="00000000" w:rsidP="00000000" w:rsidRDefault="00000000" w:rsidRPr="00000000" w14:paraId="0000015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Course materials, the instructor-provided LLM smoke-test specification, and any external references used to justify the final technology and AI-model decisions should be added to the final report after the relevant experiments and architecture decisions are completed.</w:t>
      </w:r>
      <w:r w:rsidDel="00000000" w:rsidR="00000000" w:rsidRPr="00000000">
        <w:rPr>
          <w:rtl w:val="0"/>
        </w:rPr>
      </w:r>
    </w:p>
    <w:sectPr>
      <w:footerReference r:id="rId9"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i w:val="1"/>
        <w:iCs w:val="1"/>
        <w:sz w:val="20"/>
        <w:szCs w:val="20"/>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TSE - C</w:t>
    </w:r>
    <w:r w:rsidDel="00000000" w:rsidR="00000000" w:rsidRPr="00000000">
      <w:rPr>
        <w:i w:val="1"/>
        <w:iCs w:val="1"/>
        <w:sz w:val="20"/>
        <w:szCs w:val="20"/>
        <w:rtl w:val="0"/>
      </w:rPr>
      <w:t xml:space="preserve">areer Simulation Platform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7dZBqe08YYqy6jZ/jMEGKjFmQ==">CgMxLjAaJQoBMBIgCh4IB0IaCg9UaW1lcyBOZXcgUm9tYW4SB0d1bmdzdWgaIwoBMRIeChwIB0IYCg9UaW1lcyBOZXcgUm9tYW4SBUNhcmRvGiUKATISIAoeCAdCGgoPVGltZXMgTmV3IFJvbWFuEgdHdW5nc3VoMg5oLjFia2ZvbmdhNmpsdjINaC52ajIybmZ6emlpMjgAciExU18tMjg1a3pSbGJqNzA1alJPd1VFcFFyVkJSbGxLNTc=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title>Building Career Simulation Platform for Students</dc:title>
  <dc:subject>CareerSim proposal updated with the bounded Syn exploration assistant</dc:subject>
</cp:coreProperties>
</file>