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40"/>
        <w:jc w:val="center"/>
      </w:pPr>
      <w:r>
        <w:rPr>
          <w:rFonts w:ascii="맑은 고딕" w:hAnsi="맑은 고딕" w:eastAsia="맑은 고딕"/>
          <w:b/>
          <w:i w:val="0"/>
          <w:color w:val="2E74B5"/>
          <w:sz w:val="34"/>
        </w:rPr>
        <w:t>혼합물(농약 제형) 안구·피부자극 평가에서</w:t>
      </w:r>
    </w:p>
    <w:p>
      <w:pPr>
        <w:spacing w:after="320"/>
        <w:jc w:val="center"/>
      </w:pPr>
      <w:r>
        <w:rPr>
          <w:rFonts w:ascii="맑은 고딕" w:hAnsi="맑은 고딕" w:eastAsia="맑은 고딕"/>
          <w:b/>
          <w:i w:val="0"/>
          <w:color w:val="2E74B5"/>
          <w:sz w:val="34"/>
        </w:rPr>
        <w:t>GHS 농도한계값(CT) 접근법의 가산성 가정 한계와 대응 전략</w:t>
      </w:r>
    </w:p>
    <w:p>
      <w:pPr>
        <w:spacing w:after="600"/>
        <w:jc w:val="center"/>
      </w:pPr>
      <w:r>
        <w:rPr>
          <w:rFonts w:ascii="맑은 고딕" w:hAnsi="맑은 고딕" w:eastAsia="맑은 고딕"/>
          <w:b w:val="0"/>
          <w:i w:val="0"/>
          <w:color w:val="7F8C8D"/>
          <w:sz w:val="22"/>
        </w:rPr>
        <w:t>아이디어 중심 정리본</w:t>
      </w:r>
    </w:p>
    <w:p>
      <w:pPr>
        <w:spacing w:after="120"/>
      </w:pPr>
      <w:r>
        <w:rPr>
          <w:rFonts w:ascii="맑은 고딕" w:hAnsi="맑은 고딕" w:eastAsia="맑은 고딕"/>
          <w:b w:val="0"/>
          <w:i w:val="0"/>
          <w:sz w:val="21"/>
        </w:rPr>
        <w:t>농약 제형과 같은 혼합물의 안구·피부 자극 잠재력을 GHS 농도한계값(Concentration Threshold, CT) 접근법으로 예측할 때, 성분 간 상호작용(상승·길항작용)으로 단순 가산성 가정이 무너질 수 있다는 문제를 정리하고, 실험적 검증의 현실적 한계와 대응 방안, 그리고 이를 반영한 QSAR 모델 개발 전략을 제시한다.</w:t>
      </w:r>
    </w:p>
    <w:p>
      <w:pPr>
        <w:pStyle w:val="Heading2"/>
        <w:spacing w:before="240"/>
      </w:pPr>
      <w:r>
        <w:t>이 문서를 관통하는 아이디어 6개</w:t>
      </w:r>
    </w:p>
    <w:p>
      <w:pPr>
        <w:spacing w:after="100"/>
        <w:ind w:left="283"/>
      </w:pPr>
      <w:r>
        <w:rPr>
          <w:rFonts w:ascii="맑은 고딕" w:hAnsi="맑은 고딕" w:eastAsia="맑은 고딕"/>
          <w:b/>
          <w:i w:val="0"/>
          <w:color w:val="2E74B5"/>
          <w:sz w:val="21"/>
        </w:rPr>
        <w:t xml:space="preserve">아이디어 1.  </w:t>
      </w:r>
      <w:r>
        <w:rPr>
          <w:rFonts w:ascii="맑은 고딕" w:hAnsi="맑은 고딕" w:eastAsia="맑은 고딕"/>
          <w:b w:val="0"/>
          <w:i w:val="0"/>
          <w:sz w:val="21"/>
        </w:rPr>
        <w:t>GHS CT 접근법은 "성분들이 서로 영향을 주지 않는다"는 가산성 가정 위에서 작동하는데, 실제 혼합물에서는 이 가정이 깨질 수 있다.</w:t>
      </w:r>
    </w:p>
    <w:p>
      <w:pPr>
        <w:spacing w:after="100"/>
        <w:ind w:left="283"/>
      </w:pPr>
      <w:r>
        <w:rPr>
          <w:rFonts w:ascii="맑은 고딕" w:hAnsi="맑은 고딕" w:eastAsia="맑은 고딕"/>
          <w:b/>
          <w:i w:val="0"/>
          <w:color w:val="2E74B5"/>
          <w:sz w:val="21"/>
        </w:rPr>
        <w:t xml:space="preserve">아이디어 2.  </w:t>
      </w:r>
      <w:r>
        <w:rPr>
          <w:rFonts w:ascii="맑은 고딕" w:hAnsi="맑은 고딕" w:eastAsia="맑은 고딕"/>
          <w:b w:val="0"/>
          <w:i w:val="0"/>
          <w:sz w:val="21"/>
        </w:rPr>
        <w:t>이는 이론적 우려가 아니라, 실증 연구에서 절반 이상의 사례로 확인되는 문제다.</w:t>
      </w:r>
    </w:p>
    <w:p>
      <w:pPr>
        <w:spacing w:after="100"/>
        <w:ind w:left="283"/>
      </w:pPr>
      <w:r>
        <w:rPr>
          <w:rFonts w:ascii="맑은 고딕" w:hAnsi="맑은 고딕" w:eastAsia="맑은 고딕"/>
          <w:b/>
          <w:i w:val="0"/>
          <w:color w:val="2E74B5"/>
          <w:sz w:val="21"/>
        </w:rPr>
        <w:t xml:space="preserve">아이디어 3.  </w:t>
      </w:r>
      <w:r>
        <w:rPr>
          <w:rFonts w:ascii="맑은 고딕" w:hAnsi="맑은 고딕" w:eastAsia="맑은 고딕"/>
          <w:b w:val="0"/>
          <w:i w:val="0"/>
          <w:sz w:val="21"/>
        </w:rPr>
        <w:t>GHS 스스로도 일부 성분(강산·강염기·계면활성제 등)에서는 가산성이 통하지 않는다는 것을 인지하고 예외 조항을 두고 있다.</w:t>
      </w:r>
    </w:p>
    <w:p>
      <w:pPr>
        <w:spacing w:after="100"/>
        <w:ind w:left="283"/>
      </w:pPr>
      <w:r>
        <w:rPr>
          <w:rFonts w:ascii="맑은 고딕" w:hAnsi="맑은 고딕" w:eastAsia="맑은 고딕"/>
          <w:b/>
          <w:i w:val="0"/>
          <w:color w:val="2E74B5"/>
          <w:sz w:val="21"/>
        </w:rPr>
        <w:t xml:space="preserve">아이디어 4.  </w:t>
      </w:r>
      <w:r>
        <w:rPr>
          <w:rFonts w:ascii="맑은 고딕" w:hAnsi="맑은 고딕" w:eastAsia="맑은 고딕"/>
          <w:b w:val="0"/>
          <w:i w:val="0"/>
          <w:sz w:val="21"/>
        </w:rPr>
        <w:t>그러나 이 예외 조항은 이미 알려진 상호작용만 걸러내며, 성분 조합이 늘어날수록 모든 경우를 실험으로 확인하는 것은 현실적으로 불가능하다.</w:t>
      </w:r>
    </w:p>
    <w:p>
      <w:pPr>
        <w:spacing w:after="100"/>
        <w:ind w:left="283"/>
      </w:pPr>
      <w:r>
        <w:rPr>
          <w:rFonts w:ascii="맑은 고딕" w:hAnsi="맑은 고딕" w:eastAsia="맑은 고딕"/>
          <w:b/>
          <w:i w:val="0"/>
          <w:color w:val="2E74B5"/>
          <w:sz w:val="21"/>
        </w:rPr>
        <w:t xml:space="preserve">아이디어 5.  </w:t>
      </w:r>
      <w:r>
        <w:rPr>
          <w:rFonts w:ascii="맑은 고딕" w:hAnsi="맑은 고딕" w:eastAsia="맑은 고딕"/>
          <w:b w:val="0"/>
          <w:i w:val="0"/>
          <w:sz w:val="21"/>
        </w:rPr>
        <w:t>따라서 대응의 방향은 CT 접근법을 버리는 것이 아니라, 다른 근거(문헌·시험관내 자료·QSAR)와 함께 쓰는 다층적 필터링 구조로 CT의 역할을 재배치하는 것이다.</w:t>
      </w:r>
    </w:p>
    <w:p>
      <w:pPr>
        <w:spacing w:after="100"/>
        <w:ind w:left="283"/>
      </w:pPr>
      <w:r>
        <w:rPr>
          <w:rFonts w:ascii="맑은 고딕" w:hAnsi="맑은 고딕" w:eastAsia="맑은 고딕"/>
          <w:b/>
          <w:i w:val="0"/>
          <w:color w:val="2E74B5"/>
          <w:sz w:val="21"/>
        </w:rPr>
        <w:t xml:space="preserve">아이디어 6.  </w:t>
      </w:r>
      <w:r>
        <w:rPr>
          <w:rFonts w:ascii="맑은 고딕" w:hAnsi="맑은 고딕" w:eastAsia="맑은 고딕"/>
          <w:b w:val="0"/>
          <w:i w:val="0"/>
          <w:sz w:val="21"/>
        </w:rPr>
        <w:t>이 논리를 실제 모델 개발 계획으로 옮기면, CT를 거치지 않는 직접예측 트랙(Track A)과 CT를 기반으로 두고 오차만 보정하는 잔차보정 트랙(Track B)을 병행하는 전략이 나온다.</w:t>
      </w:r>
    </w:p>
    <w:p>
      <w:r>
        <w:br w:type="page"/>
      </w:r>
    </w:p>
    <w:p>
      <w:pPr>
        <w:pStyle w:val="Heading1"/>
        <w:spacing w:before="360"/>
      </w:pPr>
      <w:r>
        <w:t>아이디어 1. 가산성 가정은 무엇이고, 왜 깨질 수 있는가</w:t>
      </w:r>
    </w:p>
    <w:p>
      <w:pPr>
        <w:spacing w:after="120"/>
      </w:pPr>
      <w:r>
        <w:rPr>
          <w:rFonts w:ascii="맑은 고딕" w:hAnsi="맑은 고딕" w:eastAsia="맑은 고딕"/>
          <w:b w:val="0"/>
          <w:i w:val="0"/>
          <w:sz w:val="21"/>
        </w:rPr>
        <w:t>농약 제형은 통상 1개 이상의 유효성분과 다수의 보조성분(계면활성제, 용매, 안정제 등)으로 구성된 혼합물이다. GHS CT 접근법은 각 성분이 자신의 농도·개별 역가에 비례적으로만 전체 제형의 자극성에 기여한다는 가산성(additivity) 가정 위에서 작동한다.</w:t>
      </w:r>
    </w:p>
    <w:p>
      <w:pPr>
        <w:spacing w:after="120"/>
      </w:pPr>
      <w:r>
        <w:rPr>
          <w:rFonts w:ascii="맑은 고딕" w:hAnsi="맑은 고딕" w:eastAsia="맑은 고딕"/>
          <w:b w:val="0"/>
          <w:i w:val="0"/>
          <w:sz w:val="21"/>
        </w:rPr>
        <w:t>그러나 성분 a가 단독으로는 안정(비자극)하고 성분 b가 단독으로는 독성(자극)을 나타내더라도, a와 b가 특정 농도비로 혼합되면 다음 세 가지 결과 중 하나가 나타날 수 있다.</w:t>
      </w:r>
    </w:p>
    <w:p>
      <w:pPr>
        <w:pStyle w:val="ListBullet"/>
        <w:spacing w:after="60"/>
        <w:ind w:left="340"/>
      </w:pPr>
      <w:r>
        <w:rPr>
          <w:rFonts w:ascii="맑은 고딕" w:hAnsi="맑은 고딕" w:eastAsia="맑은 고딕"/>
          <w:b/>
          <w:i w:val="0"/>
          <w:sz w:val="21"/>
        </w:rPr>
        <w:t xml:space="preserve">① 상가적 반응 — 예측대로: </w:t>
      </w:r>
      <w:r>
        <w:rPr>
          <w:rFonts w:ascii="맑은 고딕" w:hAnsi="맑은 고딕" w:eastAsia="맑은 고딕"/>
          <w:b w:val="0"/>
          <w:i w:val="0"/>
          <w:sz w:val="21"/>
        </w:rPr>
        <w:t>a+b의 자극성이 각 성분 기여도의 단순 합과 일치.</w:t>
      </w:r>
    </w:p>
    <w:p>
      <w:pPr>
        <w:pStyle w:val="ListBullet"/>
        <w:spacing w:after="60"/>
        <w:ind w:left="340"/>
      </w:pPr>
      <w:r>
        <w:rPr>
          <w:rFonts w:ascii="맑은 고딕" w:hAnsi="맑은 고딕" w:eastAsia="맑은 고딕"/>
          <w:b/>
          <w:i w:val="0"/>
          <w:sz w:val="21"/>
        </w:rPr>
        <w:t xml:space="preserve">② 상승작용(synergism): </w:t>
      </w:r>
      <w:r>
        <w:rPr>
          <w:rFonts w:ascii="맑은 고딕" w:hAnsi="맑은 고딕" w:eastAsia="맑은 고딕"/>
          <w:b w:val="0"/>
          <w:i w:val="0"/>
          <w:sz w:val="21"/>
        </w:rPr>
        <w:t>a+b의 실제 자극성이 예측보다 훨씬 큼. 개별로는 안전한 조합이 위험해지는 경우.</w:t>
      </w:r>
    </w:p>
    <w:p>
      <w:pPr>
        <w:pStyle w:val="ListBullet"/>
        <w:spacing w:after="60"/>
        <w:ind w:left="340"/>
      </w:pPr>
      <w:r>
        <w:rPr>
          <w:rFonts w:ascii="맑은 고딕" w:hAnsi="맑은 고딕" w:eastAsia="맑은 고딕"/>
          <w:b/>
          <w:i w:val="0"/>
          <w:sz w:val="21"/>
        </w:rPr>
        <w:t xml:space="preserve">③ 길항작용(antagonism): </w:t>
      </w:r>
      <w:r>
        <w:rPr>
          <w:rFonts w:ascii="맑은 고딕" w:hAnsi="맑은 고딕" w:eastAsia="맑은 고딕"/>
          <w:b w:val="0"/>
          <w:i w:val="0"/>
          <w:sz w:val="21"/>
        </w:rPr>
        <w:t>a+b의 실제 자극성이 예측보다 작음. 한 성분이 다른 성분의 효과를 상쇄하는 경우.</w:t>
      </w:r>
    </w:p>
    <w:p>
      <w:pPr>
        <w:spacing w:after="120"/>
      </w:pPr>
      <w:r>
        <w:rPr>
          <w:rFonts w:ascii="맑은 고딕" w:hAnsi="맑은 고딕" w:eastAsia="맑은 고딕"/>
          <w:b w:val="0"/>
          <w:i w:val="0"/>
          <w:sz w:val="21"/>
        </w:rPr>
        <w:t>문제는 ②와 ③이 나타나는지, 나타난다면 그 정도가 얼마인지가 성분의 종류뿐 아니라 정확한 농도비에 의존한다는 점이다. 이 때문에 모든 조합·모든 배합비를 생체내 시험으로 사전에 전수 검증하는 것은 현실적으로 불가능하다.</w:t>
      </w:r>
    </w:p>
    <w:p>
      <w:pPr>
        <w:pStyle w:val="Heading2"/>
        <w:spacing w:before="240"/>
      </w:pPr>
      <w:r>
        <w:t>개념 도구 — 등독성선(Isobologram)</w:t>
      </w:r>
    </w:p>
    <w:p>
      <w:pPr>
        <w:spacing w:after="120"/>
      </w:pPr>
      <w:r>
        <w:rPr>
          <w:rFonts w:ascii="맑은 고딕" w:hAnsi="맑은 고딕" w:eastAsia="맑은 고딕"/>
          <w:b w:val="0"/>
          <w:i w:val="0"/>
          <w:sz w:val="21"/>
        </w:rPr>
        <w:t>이 현상을 가장 직관적으로 보여주는 도구가 등독성선(isobologram)이다. 동일한 독성 효과를 발생시키는 성분 a, b의 모든 조합을 좌표평면에 표시하면, 가산성 가정 하에서는 두 성분의 단독 유효용량을 잇는 직선이 나타난다. 실제 관찰된 조합의 궤적이 이 직선보다 원점 쪽으로 휘어지면 상승작용, 바깥쪽으로 휘어지면 길항작용을 의미한다.</w:t>
      </w:r>
    </w:p>
    <w:p>
      <w:pPr>
        <w:jc w:val="center"/>
      </w:pPr>
      <w:r>
        <w:drawing>
          <wp:inline xmlns:a="http://schemas.openxmlformats.org/drawingml/2006/main" xmlns:pic="http://schemas.openxmlformats.org/drawingml/2006/picture">
            <wp:extent cx="4860000" cy="4059295"/>
            <wp:docPr id="1" name="Picture 1"/>
            <wp:cNvGraphicFramePr>
              <a:graphicFrameLocks noChangeAspect="1"/>
            </wp:cNvGraphicFramePr>
            <a:graphic>
              <a:graphicData uri="http://schemas.openxmlformats.org/drawingml/2006/picture">
                <pic:pic>
                  <pic:nvPicPr>
                    <pic:cNvPr id="0" name="fig_isobologram.png"/>
                    <pic:cNvPicPr/>
                  </pic:nvPicPr>
                  <pic:blipFill>
                    <a:blip r:embed="rId9"/>
                    <a:stretch>
                      <a:fillRect/>
                    </a:stretch>
                  </pic:blipFill>
                  <pic:spPr>
                    <a:xfrm>
                      <a:off x="0" y="0"/>
                      <a:ext cx="4860000" cy="4059295"/>
                    </a:xfrm>
                    <a:prstGeom prst="rect"/>
                  </pic:spPr>
                </pic:pic>
              </a:graphicData>
            </a:graphic>
          </wp:inline>
        </w:drawing>
      </w:r>
    </w:p>
    <w:p>
      <w:pPr>
        <w:spacing w:after="240"/>
        <w:jc w:val="center"/>
      </w:pPr>
      <w:r>
        <w:rPr>
          <w:rFonts w:ascii="맑은 고딕" w:hAnsi="맑은 고딕" w:eastAsia="맑은 고딕"/>
          <w:b w:val="0"/>
          <w:i/>
          <w:color w:val="7F8C8D"/>
          <w:sz w:val="18"/>
        </w:rPr>
        <w:t>그림 1. 등독성선 개념도 — 상가작용 예측선(검은 실선)과 실제 상승·길항작용 궤적의 차이.</w:t>
      </w:r>
    </w:p>
    <w:p>
      <w:pPr>
        <w:spacing w:after="120"/>
      </w:pPr>
      <w:r>
        <w:rPr>
          <w:rFonts w:ascii="맑은 고딕" w:hAnsi="맑은 고딕" w:eastAsia="맑은 고딕"/>
          <w:b w:val="0"/>
          <w:i w:val="0"/>
          <w:sz w:val="21"/>
        </w:rPr>
        <w:t>그림 1에서 보듯, GHS CT 접근법은 항상 검은 실선(상가작용 예측선)만을 계산하도록 설계돼 있다. 실제 제형의 반응이 붉은 점선(상승) 영역에 속한다면 CT 접근법은 위험을 과소평가하게 되고, 파란 점선(길항) 영역에 속한다면 반대로 과대평가(불필요한 동물시험 유발)로 이어진다.</w:t>
      </w:r>
    </w:p>
    <w:p>
      <w:r>
        <w:br w:type="page"/>
      </w:r>
    </w:p>
    <w:p>
      <w:pPr>
        <w:pStyle w:val="Heading1"/>
        <w:spacing w:before="360"/>
      </w:pPr>
      <w:r>
        <w:t>아이디어 2. 실제로 얼마나 자주 일어나는가 — 세 갈래 증거</w:t>
      </w:r>
    </w:p>
    <w:p>
      <w:pPr>
        <w:spacing w:after="120"/>
      </w:pPr>
      <w:r>
        <w:rPr>
          <w:rFonts w:ascii="맑은 고딕" w:hAnsi="맑은 고딕" w:eastAsia="맑은 고딕"/>
          <w:b w:val="0"/>
          <w:i w:val="0"/>
          <w:sz w:val="21"/>
        </w:rPr>
        <w:t>가산성 가정의 붕괴는 이론적 가능성에 그치지 않는다. 통계적 증거, 제도적 인정, 개별 사례 세 갈래에서 모두 확인된다.</w:t>
      </w:r>
    </w:p>
    <w:p>
      <w:pPr>
        <w:pStyle w:val="Heading2"/>
        <w:spacing w:before="240"/>
      </w:pPr>
      <w:r>
        <w:t>증거 ① 통계 — 절반 이상이 비가산적</w:t>
      </w:r>
    </w:p>
    <w:p>
      <w:pPr>
        <w:spacing w:after="120"/>
      </w:pPr>
      <w:r>
        <w:rPr>
          <w:rFonts w:ascii="맑은 고딕" w:hAnsi="맑은 고딕" w:eastAsia="맑은 고딕"/>
          <w:b w:val="0"/>
          <w:i w:val="0"/>
          <w:sz w:val="21"/>
        </w:rPr>
        <w:t>국내 하천의 농약-의약품 2성분 혼합물 60개 지점을 분석한 연구에서는, 예측 대비 관찰 독성의 비율(Model Deviation Ratio)을 기준으로 상가작용 48% · 길항작용 40% · 상승작용 12%로 나타나, 절반 이상의 사례에서 단순 가산성 예측이 실제와 어긋났다.</w:t>
      </w:r>
    </w:p>
    <w:p>
      <w:pPr>
        <w:jc w:val="center"/>
      </w:pPr>
      <w:r>
        <w:drawing>
          <wp:inline xmlns:a="http://schemas.openxmlformats.org/drawingml/2006/main" xmlns:pic="http://schemas.openxmlformats.org/drawingml/2006/picture">
            <wp:extent cx="4860000" cy="3581262"/>
            <wp:docPr id="2" name="Picture 2"/>
            <wp:cNvGraphicFramePr>
              <a:graphicFrameLocks noChangeAspect="1"/>
            </wp:cNvGraphicFramePr>
            <a:graphic>
              <a:graphicData uri="http://schemas.openxmlformats.org/drawingml/2006/picture">
                <pic:pic>
                  <pic:nvPicPr>
                    <pic:cNvPr id="0" name="fig_60sites.png"/>
                    <pic:cNvPicPr/>
                  </pic:nvPicPr>
                  <pic:blipFill>
                    <a:blip r:embed="rId10"/>
                    <a:stretch>
                      <a:fillRect/>
                    </a:stretch>
                  </pic:blipFill>
                  <pic:spPr>
                    <a:xfrm>
                      <a:off x="0" y="0"/>
                      <a:ext cx="4860000" cy="3581262"/>
                    </a:xfrm>
                    <a:prstGeom prst="rect"/>
                  </pic:spPr>
                </pic:pic>
              </a:graphicData>
            </a:graphic>
          </wp:inline>
        </w:drawing>
      </w:r>
    </w:p>
    <w:p>
      <w:pPr>
        <w:spacing w:after="240"/>
        <w:jc w:val="center"/>
      </w:pPr>
      <w:r>
        <w:rPr>
          <w:rFonts w:ascii="맑은 고딕" w:hAnsi="맑은 고딕" w:eastAsia="맑은 고딕"/>
          <w:b w:val="0"/>
          <w:i/>
          <w:color w:val="7F8C8D"/>
          <w:sz w:val="18"/>
        </w:rPr>
        <w:t>그림 2. 이성분 혼합물 60개 지점의 독성 상호작용 유형 분포 (예시 연구 결과).</w:t>
      </w:r>
    </w:p>
    <w:p>
      <w:pPr>
        <w:spacing w:after="120"/>
      </w:pPr>
      <w:r>
        <w:rPr>
          <w:rFonts w:ascii="맑은 고딕" w:hAnsi="맑은 고딕" w:eastAsia="맑은 고딕"/>
          <w:b w:val="0"/>
          <w:i w:val="0"/>
          <w:sz w:val="21"/>
        </w:rPr>
        <w:t>더 나아가 같은 연구에서는 저농도(EC10) 구간에서 상승작용을, 고농도(EC50) 구간에서는 오히려 길항작용을 보이는 역전 현상도 일부 조합에서 관찰됐다. 이는 상호작용의 방향과 크기가 농도 구간에 따라 달라질 수 있음을 의미하며, 단일 농도점에서의 검증만으로는 전체 배합비 스펙트럼의 안전성을 보장할 수 없다는 것을 시사한다.</w:t>
      </w:r>
    </w:p>
    <w:p>
      <w:pPr>
        <w:spacing w:after="120"/>
      </w:pPr>
      <w:r>
        <w:rPr>
          <w:rFonts w:ascii="맑은 고딕" w:hAnsi="맑은 고딕" w:eastAsia="맑은 고딕"/>
          <w:b w:val="0"/>
          <w:i w:val="0"/>
          <w:sz w:val="21"/>
        </w:rPr>
        <w:t>농약 제형 자체에 대해서도 유사한 우려가 보고된 바 있다. 급성 전신독성 영역에서는 제형의 독성이 성분 독성의 단순 합이 아니며, 성분 간 상호작용으로 GHS 가산성 예측보다 높거나 낮은 독성을 보일 수 있다는 점이 CT 접근법 개발자들 스스로에 의해 명시적으로 인정된 바 있다.</w:t>
      </w:r>
    </w:p>
    <w:p>
      <w:pPr>
        <w:pStyle w:val="Heading2"/>
        <w:spacing w:before="240"/>
      </w:pPr>
      <w:r>
        <w:t>증거 ② 제도 — GHS 자신이 인정한 예외</w:t>
      </w:r>
    </w:p>
    <w:p>
      <w:pPr>
        <w:spacing w:after="120"/>
      </w:pPr>
      <w:r>
        <w:rPr>
          <w:rFonts w:ascii="맑은 고딕" w:hAnsi="맑은 고딕" w:eastAsia="맑은 고딕"/>
          <w:b w:val="0"/>
          <w:i w:val="0"/>
          <w:sz w:val="21"/>
        </w:rPr>
        <w:t>주목할 점은 GHS 제정 당시부터 특정 화학물질군에 대해서는 가산성 접근법이 통하지 않는다는 것이 이미 인지돼 있었다는 것이다. UN GHS 10차 개정판 및 이를 반영한 각국 규정(OSHA HCS, EU CLP 등)은 다음과 같은 예외를 명시한다.</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shd w:val="clear" w:fill="2E74B5"/>
          </w:tcPr>
          <w:p>
            <w:pPr>
              <w:jc w:val="center"/>
            </w:pPr>
            <w:r/>
            <w:r>
              <w:rPr>
                <w:rFonts w:ascii="맑은 고딕" w:hAnsi="맑은 고딕" w:eastAsia="맑은 고딕"/>
                <w:b/>
                <w:i w:val="0"/>
                <w:color w:val="FFFFFF"/>
                <w:sz w:val="18"/>
              </w:rPr>
              <w:t>구분</w:t>
            </w:r>
          </w:p>
        </w:tc>
        <w:tc>
          <w:tcPr>
            <w:tcW w:type="dxa" w:w="3288"/>
            <w:shd w:val="clear" w:fill="2E74B5"/>
          </w:tcPr>
          <w:p>
            <w:pPr>
              <w:jc w:val="center"/>
            </w:pPr>
            <w:r/>
            <w:r>
              <w:rPr>
                <w:rFonts w:ascii="맑은 고딕" w:hAnsi="맑은 고딕" w:eastAsia="맑은 고딕"/>
                <w:b/>
                <w:i w:val="0"/>
                <w:color w:val="FFFFFF"/>
                <w:sz w:val="18"/>
              </w:rPr>
              <w:t>해당 성분·상황</w:t>
            </w:r>
          </w:p>
        </w:tc>
        <w:tc>
          <w:tcPr>
            <w:tcW w:type="dxa" w:w="3288"/>
            <w:shd w:val="clear" w:fill="2E74B5"/>
          </w:tcPr>
          <w:p>
            <w:pPr>
              <w:jc w:val="center"/>
            </w:pPr>
            <w:r/>
            <w:r>
              <w:rPr>
                <w:rFonts w:ascii="맑은 고딕" w:hAnsi="맑은 고딕" w:eastAsia="맑은 고딕"/>
                <w:b/>
                <w:i w:val="0"/>
                <w:color w:val="FFFFFF"/>
                <w:sz w:val="18"/>
              </w:rPr>
              <w:t>대체 분류 기준</w:t>
            </w:r>
          </w:p>
        </w:tc>
      </w:tr>
      <w:tr>
        <w:tc>
          <w:tcPr>
            <w:tcW w:type="dxa" w:w="1701"/>
          </w:tcPr>
          <w:p>
            <w:r/>
            <w:r>
              <w:rPr>
                <w:rFonts w:ascii="맑은 고딕" w:hAnsi="맑은 고딕" w:eastAsia="맑은 고딕"/>
                <w:b w:val="0"/>
                <w:i w:val="0"/>
                <w:sz w:val="18"/>
              </w:rPr>
              <w:t>강산·강염기</w:t>
            </w:r>
          </w:p>
        </w:tc>
        <w:tc>
          <w:tcPr>
            <w:tcW w:type="dxa" w:w="3288"/>
          </w:tcPr>
          <w:p>
            <w:r/>
            <w:r>
              <w:rPr>
                <w:rFonts w:ascii="맑은 고딕" w:hAnsi="맑은 고딕" w:eastAsia="맑은 고딕"/>
                <w:b w:val="0"/>
                <w:i w:val="0"/>
                <w:sz w:val="18"/>
              </w:rPr>
              <w:t>pH ≤ 2 또는 pH ≥ 11.5</w:t>
            </w:r>
          </w:p>
        </w:tc>
        <w:tc>
          <w:tcPr>
            <w:tcW w:type="dxa" w:w="3288"/>
          </w:tcPr>
          <w:p>
            <w:r/>
            <w:r>
              <w:rPr>
                <w:rFonts w:ascii="맑은 고딕" w:hAnsi="맑은 고딕" w:eastAsia="맑은 고딕"/>
                <w:b w:val="0"/>
                <w:i w:val="0"/>
                <w:sz w:val="18"/>
              </w:rPr>
              <w:t>농도가 아닌 pH를 우선 기준으로 사용</w:t>
            </w:r>
          </w:p>
        </w:tc>
      </w:tr>
      <w:tr>
        <w:tc>
          <w:tcPr>
            <w:tcW w:type="dxa" w:w="1701"/>
            <w:shd w:val="clear" w:fill="F0F4F8"/>
          </w:tcPr>
          <w:p>
            <w:r/>
            <w:r>
              <w:rPr>
                <w:rFonts w:ascii="맑은 고딕" w:hAnsi="맑은 고딕" w:eastAsia="맑은 고딕"/>
                <w:b w:val="0"/>
                <w:i w:val="0"/>
                <w:sz w:val="18"/>
              </w:rPr>
              <w:t>무기염</w:t>
            </w:r>
          </w:p>
        </w:tc>
        <w:tc>
          <w:tcPr>
            <w:tcW w:type="dxa" w:w="3288"/>
            <w:shd w:val="clear" w:fill="F0F4F8"/>
          </w:tcPr>
          <w:p>
            <w:r/>
            <w:r>
              <w:rPr>
                <w:rFonts w:ascii="맑은 고딕" w:hAnsi="맑은 고딕" w:eastAsia="맑은 고딕"/>
                <w:b w:val="0"/>
                <w:i w:val="0"/>
                <w:sz w:val="18"/>
              </w:rPr>
              <w:t>일부 무기염류</w:t>
            </w:r>
          </w:p>
        </w:tc>
        <w:tc>
          <w:tcPr>
            <w:tcW w:type="dxa" w:w="3288"/>
            <w:shd w:val="clear" w:fill="F0F4F8"/>
          </w:tcPr>
          <w:p>
            <w:r/>
            <w:r>
              <w:rPr>
                <w:rFonts w:ascii="맑은 고딕" w:hAnsi="맑은 고딕" w:eastAsia="맑은 고딕"/>
                <w:b w:val="0"/>
                <w:i w:val="0"/>
                <w:sz w:val="18"/>
              </w:rPr>
              <w:t>개별 물질별 실측 자료 우선</w:t>
            </w:r>
          </w:p>
        </w:tc>
      </w:tr>
      <w:tr>
        <w:tc>
          <w:tcPr>
            <w:tcW w:type="dxa" w:w="1701"/>
          </w:tcPr>
          <w:p>
            <w:r/>
            <w:r>
              <w:rPr>
                <w:rFonts w:ascii="맑은 고딕" w:hAnsi="맑은 고딕" w:eastAsia="맑은 고딕"/>
                <w:b w:val="0"/>
                <w:i w:val="0"/>
                <w:sz w:val="18"/>
              </w:rPr>
              <w:t>알데히드·페놀</w:t>
            </w:r>
          </w:p>
        </w:tc>
        <w:tc>
          <w:tcPr>
            <w:tcW w:type="dxa" w:w="3288"/>
          </w:tcPr>
          <w:p>
            <w:r/>
            <w:r>
              <w:rPr>
                <w:rFonts w:ascii="맑은 고딕" w:hAnsi="맑은 고딕" w:eastAsia="맑은 고딕"/>
                <w:b w:val="0"/>
                <w:i w:val="0"/>
                <w:sz w:val="18"/>
              </w:rPr>
              <w:t>반응성이 높아 예측 곤란한 화학군</w:t>
            </w:r>
          </w:p>
        </w:tc>
        <w:tc>
          <w:tcPr>
            <w:tcW w:type="dxa" w:w="3288"/>
          </w:tcPr>
          <w:p>
            <w:r/>
            <w:r>
              <w:rPr>
                <w:rFonts w:ascii="맑은 고딕" w:hAnsi="맑은 고딕" w:eastAsia="맑은 고딕"/>
                <w:b w:val="0"/>
                <w:i w:val="0"/>
                <w:sz w:val="18"/>
              </w:rPr>
              <w:t>GHS Table 3.2.4 / 3.3.4 등 별도 표 적용</w:t>
            </w:r>
          </w:p>
        </w:tc>
      </w:tr>
      <w:tr>
        <w:tc>
          <w:tcPr>
            <w:tcW w:type="dxa" w:w="1701"/>
            <w:shd w:val="clear" w:fill="F0F4F8"/>
          </w:tcPr>
          <w:p>
            <w:r/>
            <w:r>
              <w:rPr>
                <w:rFonts w:ascii="맑은 고딕" w:hAnsi="맑은 고딕" w:eastAsia="맑은 고딕"/>
                <w:b w:val="0"/>
                <w:i w:val="0"/>
                <w:sz w:val="18"/>
              </w:rPr>
              <w:t>계면활성제</w:t>
            </w:r>
          </w:p>
        </w:tc>
        <w:tc>
          <w:tcPr>
            <w:tcW w:type="dxa" w:w="3288"/>
            <w:shd w:val="clear" w:fill="F0F4F8"/>
          </w:tcPr>
          <w:p>
            <w:r/>
            <w:r>
              <w:rPr>
                <w:rFonts w:ascii="맑은 고딕" w:hAnsi="맑은 고딕" w:eastAsia="맑은 고딕"/>
                <w:b w:val="0"/>
                <w:i w:val="0"/>
                <w:sz w:val="18"/>
              </w:rPr>
              <w:t>피부·안구 장벽 투과를 촉진할 수 있는 성분</w:t>
            </w:r>
          </w:p>
        </w:tc>
        <w:tc>
          <w:tcPr>
            <w:tcW w:type="dxa" w:w="3288"/>
            <w:shd w:val="clear" w:fill="F0F4F8"/>
          </w:tcPr>
          <w:p>
            <w:r/>
            <w:r>
              <w:rPr>
                <w:rFonts w:ascii="맑은 고딕" w:hAnsi="맑은 고딕" w:eastAsia="맑은 고딕"/>
                <w:b w:val="0"/>
                <w:i w:val="0"/>
                <w:sz w:val="18"/>
              </w:rPr>
              <w:t>가산성 배제, 실측 우선 권고</w:t>
            </w:r>
          </w:p>
        </w:tc>
      </w:tr>
    </w:tbl>
    <w:p>
      <w:pPr>
        <w:spacing w:after="40"/>
      </w:pPr>
    </w:p>
    <w:p>
      <w:pPr>
        <w:spacing w:after="120"/>
      </w:pPr>
      <w:r>
        <w:rPr>
          <w:rFonts w:ascii="맑은 고딕" w:hAnsi="맑은 고딕" w:eastAsia="맑은 고딕"/>
          <w:b w:val="0"/>
          <w:i w:val="0"/>
          <w:sz w:val="21"/>
        </w:rPr>
        <w:t>즉 가산성 문제는 GHS 체계가 이미 알고 있는 한계이며, 그래서 위와 같은 예외 조항이 존재한다. 다만 이 조항은 상승·길항 가능성이 알려진 특정 화학군에만 한정돼 있어, 문헌에 보고되지 않은 새로운 성분 조합이나 미지의 상호작용까지는 포괄하지 못한다는 것이 실무적 한계로 남는다.</w:t>
      </w:r>
    </w:p>
    <w:p>
      <w:pPr>
        <w:pStyle w:val="Heading2"/>
        <w:spacing w:before="240"/>
      </w:pPr>
      <w:r>
        <w:t>증거 ③ 사례 — 농약 제형에서 보고된 구체적 상호작용</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c>
          <w:tcPr>
            <w:tcW w:type="dxa" w:w="2041"/>
            <w:shd w:val="clear" w:fill="2E74B5"/>
          </w:tcPr>
          <w:p>
            <w:pPr>
              <w:jc w:val="center"/>
            </w:pPr>
            <w:r/>
            <w:r>
              <w:rPr>
                <w:rFonts w:ascii="맑은 고딕" w:hAnsi="맑은 고딕" w:eastAsia="맑은 고딕"/>
                <w:b/>
                <w:i w:val="0"/>
                <w:color w:val="FFFFFF"/>
                <w:sz w:val="17"/>
              </w:rPr>
              <w:t>사례</w:t>
            </w:r>
          </w:p>
        </w:tc>
        <w:tc>
          <w:tcPr>
            <w:tcW w:type="dxa" w:w="1134"/>
            <w:shd w:val="clear" w:fill="2E74B5"/>
          </w:tcPr>
          <w:p>
            <w:pPr>
              <w:jc w:val="center"/>
            </w:pPr>
            <w:r/>
            <w:r>
              <w:rPr>
                <w:rFonts w:ascii="맑은 고딕" w:hAnsi="맑은 고딕" w:eastAsia="맑은 고딕"/>
                <w:b/>
                <w:i w:val="0"/>
                <w:color w:val="FFFFFF"/>
                <w:sz w:val="17"/>
              </w:rPr>
              <w:t>방향</w:t>
            </w:r>
          </w:p>
        </w:tc>
        <w:tc>
          <w:tcPr>
            <w:tcW w:type="dxa" w:w="3061"/>
            <w:shd w:val="clear" w:fill="2E74B5"/>
          </w:tcPr>
          <w:p>
            <w:pPr>
              <w:jc w:val="center"/>
            </w:pPr>
            <w:r/>
            <w:r>
              <w:rPr>
                <w:rFonts w:ascii="맑은 고딕" w:hAnsi="맑은 고딕" w:eastAsia="맑은 고딕"/>
                <w:b/>
                <w:i w:val="0"/>
                <w:color w:val="FFFFFF"/>
                <w:sz w:val="17"/>
              </w:rPr>
              <w:t>기전(가설)</w:t>
            </w:r>
          </w:p>
        </w:tc>
        <w:tc>
          <w:tcPr>
            <w:tcW w:type="dxa" w:w="2154"/>
            <w:shd w:val="clear" w:fill="2E74B5"/>
          </w:tcPr>
          <w:p>
            <w:pPr>
              <w:jc w:val="center"/>
            </w:pPr>
            <w:r/>
            <w:r>
              <w:rPr>
                <w:rFonts w:ascii="맑은 고딕" w:hAnsi="맑은 고딕" w:eastAsia="맑은 고딕"/>
                <w:b/>
                <w:i w:val="0"/>
                <w:color w:val="FFFFFF"/>
                <w:sz w:val="17"/>
              </w:rPr>
              <w:t>시사점</w:t>
            </w:r>
          </w:p>
        </w:tc>
      </w:tr>
      <w:tr>
        <w:tc>
          <w:tcPr>
            <w:tcW w:type="dxa" w:w="2041"/>
          </w:tcPr>
          <w:p>
            <w:r/>
            <w:r>
              <w:rPr>
                <w:rFonts w:ascii="맑은 고딕" w:hAnsi="맑은 고딕" w:eastAsia="맑은 고딕"/>
                <w:b w:val="0"/>
                <w:i w:val="0"/>
                <w:sz w:val="17"/>
              </w:rPr>
              <w:t>계면활성제 SDS + C12TAB 혼합</w:t>
            </w:r>
          </w:p>
        </w:tc>
        <w:tc>
          <w:tcPr>
            <w:tcW w:type="dxa" w:w="1134"/>
          </w:tcPr>
          <w:p>
            <w:r/>
            <w:r>
              <w:rPr>
                <w:rFonts w:ascii="맑은 고딕" w:hAnsi="맑은 고딕" w:eastAsia="맑은 고딕"/>
                <w:b w:val="0"/>
                <w:i w:val="0"/>
                <w:sz w:val="17"/>
              </w:rPr>
              <w:t>길항</w:t>
            </w:r>
          </w:p>
        </w:tc>
        <w:tc>
          <w:tcPr>
            <w:tcW w:type="dxa" w:w="3061"/>
          </w:tcPr>
          <w:p>
            <w:r/>
            <w:r>
              <w:rPr>
                <w:rFonts w:ascii="맑은 고딕" w:hAnsi="맑은 고딕" w:eastAsia="맑은 고딕"/>
                <w:b w:val="0"/>
                <w:i w:val="0"/>
                <w:sz w:val="17"/>
              </w:rPr>
              <w:t>양이온성 계면활성제가 음이온성 계면활성제의 단량체 농도를 낮춰 피부장벽 교란력 감소</w:t>
            </w:r>
          </w:p>
        </w:tc>
        <w:tc>
          <w:tcPr>
            <w:tcW w:type="dxa" w:w="2154"/>
          </w:tcPr>
          <w:p>
            <w:r/>
            <w:r>
              <w:rPr>
                <w:rFonts w:ascii="맑은 고딕" w:hAnsi="맑은 고딕" w:eastAsia="맑은 고딕"/>
                <w:b w:val="0"/>
                <w:i w:val="0"/>
                <w:sz w:val="17"/>
              </w:rPr>
              <w:t>계면활성제끼리도 서로 억제 가능 — 단순 합산은 과대예측 위험</w:t>
            </w:r>
          </w:p>
        </w:tc>
      </w:tr>
      <w:tr>
        <w:tc>
          <w:tcPr>
            <w:tcW w:type="dxa" w:w="2041"/>
            <w:shd w:val="clear" w:fill="F0F4F8"/>
          </w:tcPr>
          <w:p>
            <w:r/>
            <w:r>
              <w:rPr>
                <w:rFonts w:ascii="맑은 고딕" w:hAnsi="맑은 고딕" w:eastAsia="맑은 고딕"/>
                <w:b w:val="0"/>
                <w:i w:val="0"/>
                <w:sz w:val="17"/>
              </w:rPr>
              <w:t>글리포세이트 + 보조제(POEA 등)</w:t>
            </w:r>
          </w:p>
        </w:tc>
        <w:tc>
          <w:tcPr>
            <w:tcW w:type="dxa" w:w="1134"/>
            <w:shd w:val="clear" w:fill="F0F4F8"/>
          </w:tcPr>
          <w:p>
            <w:r/>
            <w:r>
              <w:rPr>
                <w:rFonts w:ascii="맑은 고딕" w:hAnsi="맑은 고딕" w:eastAsia="맑은 고딕"/>
                <w:b w:val="0"/>
                <w:i w:val="0"/>
                <w:sz w:val="17"/>
              </w:rPr>
              <w:t>상승</w:t>
            </w:r>
          </w:p>
        </w:tc>
        <w:tc>
          <w:tcPr>
            <w:tcW w:type="dxa" w:w="3061"/>
            <w:shd w:val="clear" w:fill="F0F4F8"/>
          </w:tcPr>
          <w:p>
            <w:r/>
            <w:r>
              <w:rPr>
                <w:rFonts w:ascii="맑은 고딕" w:hAnsi="맑은 고딕" w:eastAsia="맑은 고딕"/>
                <w:b w:val="0"/>
                <w:i w:val="0"/>
                <w:sz w:val="17"/>
              </w:rPr>
              <w:t>보조제가 활성성분의 세포막 투과·흡수를 촉진, 산화스트레스·세포독성 증폭</w:t>
            </w:r>
          </w:p>
        </w:tc>
        <w:tc>
          <w:tcPr>
            <w:tcW w:type="dxa" w:w="2154"/>
            <w:shd w:val="clear" w:fill="F0F4F8"/>
          </w:tcPr>
          <w:p>
            <w:r/>
            <w:r>
              <w:rPr>
                <w:rFonts w:ascii="맑은 고딕" w:hAnsi="맑은 고딕" w:eastAsia="맑은 고딕"/>
                <w:b w:val="0"/>
                <w:i w:val="0"/>
                <w:sz w:val="17"/>
              </w:rPr>
              <w:t>활성성분 단독 자료만으로는 제형의 실제 위해도를 과소평가할 위험</w:t>
            </w:r>
          </w:p>
        </w:tc>
      </w:tr>
      <w:tr>
        <w:tc>
          <w:tcPr>
            <w:tcW w:type="dxa" w:w="2041"/>
          </w:tcPr>
          <w:p>
            <w:r/>
            <w:r>
              <w:rPr>
                <w:rFonts w:ascii="맑은 고딕" w:hAnsi="맑은 고딕" w:eastAsia="맑은 고딕"/>
                <w:b w:val="0"/>
                <w:i w:val="0"/>
                <w:sz w:val="17"/>
              </w:rPr>
              <w:t>피페로닐부톡사이드(공동상승제) + 살충제</w:t>
            </w:r>
          </w:p>
        </w:tc>
        <w:tc>
          <w:tcPr>
            <w:tcW w:type="dxa" w:w="1134"/>
          </w:tcPr>
          <w:p>
            <w:r/>
            <w:r>
              <w:rPr>
                <w:rFonts w:ascii="맑은 고딕" w:hAnsi="맑은 고딕" w:eastAsia="맑은 고딕"/>
                <w:b w:val="0"/>
                <w:i w:val="0"/>
                <w:sz w:val="17"/>
              </w:rPr>
              <w:t>상승 (의도적)</w:t>
            </w:r>
          </w:p>
        </w:tc>
        <w:tc>
          <w:tcPr>
            <w:tcW w:type="dxa" w:w="3061"/>
          </w:tcPr>
          <w:p>
            <w:r/>
            <w:r>
              <w:rPr>
                <w:rFonts w:ascii="맑은 고딕" w:hAnsi="맑은 고딕" w:eastAsia="맑은 고딕"/>
                <w:b w:val="0"/>
                <w:i w:val="0"/>
                <w:sz w:val="17"/>
              </w:rPr>
              <w:t>P450 대사효소 억제로 살충제 대사 지연, 효력·독성 모두 증대</w:t>
            </w:r>
          </w:p>
        </w:tc>
        <w:tc>
          <w:tcPr>
            <w:tcW w:type="dxa" w:w="2154"/>
          </w:tcPr>
          <w:p>
            <w:r/>
            <w:r>
              <w:rPr>
                <w:rFonts w:ascii="맑은 고딕" w:hAnsi="맑은 고딕" w:eastAsia="맑은 고딕"/>
                <w:b w:val="0"/>
                <w:i w:val="0"/>
                <w:sz w:val="17"/>
              </w:rPr>
              <w:t>일부 제형은 상승작용을 의도적으로 설계 — 우연이 아닌 구조적 문제</w:t>
            </w:r>
          </w:p>
        </w:tc>
      </w:tr>
      <w:tr>
        <w:tc>
          <w:tcPr>
            <w:tcW w:type="dxa" w:w="2041"/>
            <w:shd w:val="clear" w:fill="F0F4F8"/>
          </w:tcPr>
          <w:p>
            <w:r/>
            <w:r>
              <w:rPr>
                <w:rFonts w:ascii="맑은 고딕" w:hAnsi="맑은 고딕" w:eastAsia="맑은 고딕"/>
                <w:b w:val="0"/>
                <w:i w:val="0"/>
                <w:sz w:val="17"/>
              </w:rPr>
              <w:t>농약-의약품 이성분 혼합물 (하천수 사례)</w:t>
            </w:r>
          </w:p>
        </w:tc>
        <w:tc>
          <w:tcPr>
            <w:tcW w:type="dxa" w:w="1134"/>
            <w:shd w:val="clear" w:fill="F0F4F8"/>
          </w:tcPr>
          <w:p>
            <w:r/>
            <w:r>
              <w:rPr>
                <w:rFonts w:ascii="맑은 고딕" w:hAnsi="맑은 고딕" w:eastAsia="맑은 고딕"/>
                <w:b w:val="0"/>
                <w:i w:val="0"/>
                <w:sz w:val="17"/>
              </w:rPr>
              <w:t>혼재 (48% / 40% / 12%)</w:t>
            </w:r>
          </w:p>
        </w:tc>
        <w:tc>
          <w:tcPr>
            <w:tcW w:type="dxa" w:w="3061"/>
            <w:shd w:val="clear" w:fill="F0F4F8"/>
          </w:tcPr>
          <w:p>
            <w:r/>
            <w:r>
              <w:rPr>
                <w:rFonts w:ascii="맑은 고딕" w:hAnsi="맑은 고딕" w:eastAsia="맑은 고딕"/>
                <w:b w:val="0"/>
                <w:i w:val="0"/>
                <w:sz w:val="17"/>
              </w:rPr>
              <w:t>화학종별 작용기전 상이로 조합에 따라 결과 상이</w:t>
            </w:r>
          </w:p>
        </w:tc>
        <w:tc>
          <w:tcPr>
            <w:tcW w:type="dxa" w:w="2154"/>
            <w:shd w:val="clear" w:fill="F0F4F8"/>
          </w:tcPr>
          <w:p>
            <w:r/>
            <w:r>
              <w:rPr>
                <w:rFonts w:ascii="맑은 고딕" w:hAnsi="맑은 고딕" w:eastAsia="맑은 고딕"/>
                <w:b w:val="0"/>
                <w:i w:val="0"/>
                <w:sz w:val="17"/>
              </w:rPr>
              <w:t>혼합물 유형의 일반화가 어려움 — 사례별 검증 필요성 시사</w:t>
            </w:r>
          </w:p>
        </w:tc>
      </w:tr>
    </w:tbl>
    <w:p>
      <w:pPr>
        <w:spacing w:after="40"/>
      </w:pPr>
    </w:p>
    <w:p>
      <w:r>
        <w:br w:type="page"/>
      </w:r>
    </w:p>
    <w:p>
      <w:pPr>
        <w:pStyle w:val="Heading1"/>
        <w:spacing w:before="360"/>
      </w:pPr>
      <w:r>
        <w:t>아이디어 3. 그런데 왜 실험으로 전부 확인할 수 없는가</w:t>
      </w:r>
    </w:p>
    <w:p>
      <w:pPr>
        <w:spacing w:after="120"/>
      </w:pPr>
      <w:r>
        <w:rPr>
          <w:rFonts w:ascii="맑은 고딕" w:hAnsi="맑은 고딕" w:eastAsia="맑은 고딕"/>
          <w:b w:val="0"/>
          <w:i w:val="0"/>
          <w:sz w:val="21"/>
        </w:rPr>
        <w:t>여기서 핵심은 상호작용이 존재한다는 사실 자체가 아니라, 이를 실험으로 전수 검증하는 것이 비현실적이라는 데 있다. 이유는 네 가지로 정리된다.</w:t>
      </w:r>
    </w:p>
    <w:p>
      <w:pPr>
        <w:pStyle w:val="ListBullet"/>
        <w:spacing w:after="60"/>
        <w:ind w:left="340"/>
      </w:pPr>
      <w:r>
        <w:rPr>
          <w:rFonts w:ascii="맑은 고딕" w:hAnsi="맑은 고딕" w:eastAsia="맑은 고딕"/>
          <w:b/>
          <w:i w:val="0"/>
          <w:sz w:val="21"/>
        </w:rPr>
        <w:t xml:space="preserve">성분 수 증가에 따른 조합 폭증: </w:t>
      </w:r>
      <w:r>
        <w:rPr>
          <w:rFonts w:ascii="맑은 고딕" w:hAnsi="맑은 고딕" w:eastAsia="맑은 고딕"/>
          <w:b w:val="0"/>
          <w:i w:val="0"/>
          <w:sz w:val="21"/>
        </w:rPr>
        <w:t>성분이 n개이면 2성분 조합만 해도 nC2가지이며, 실제 제형은 성분이 10개 이상인 경우가 흔해 조합 수가 기하급수적으로 증가한다.</w:t>
      </w:r>
    </w:p>
    <w:p>
      <w:pPr>
        <w:pStyle w:val="ListBullet"/>
        <w:spacing w:after="60"/>
        <w:ind w:left="340"/>
      </w:pPr>
      <w:r>
        <w:rPr>
          <w:rFonts w:ascii="맑은 고딕" w:hAnsi="맑은 고딕" w:eastAsia="맑은 고딕"/>
          <w:b/>
          <w:i w:val="0"/>
          <w:sz w:val="21"/>
        </w:rPr>
        <w:t xml:space="preserve">농도 의존성: </w:t>
      </w:r>
      <w:r>
        <w:rPr>
          <w:rFonts w:ascii="맑은 고딕" w:hAnsi="맑은 고딕" w:eastAsia="맑은 고딕"/>
          <w:b w:val="0"/>
          <w:i w:val="0"/>
          <w:sz w:val="21"/>
        </w:rPr>
        <w:t>상호작용의 방향(상승·길항)과 크기가 배합비에 따라 달라지므로, 하나의 배합비에서 안전을 확인해도 다른 배합비에서는 다른 결과가 나올 수 있다.</w:t>
      </w:r>
    </w:p>
    <w:p>
      <w:pPr>
        <w:pStyle w:val="ListBullet"/>
        <w:spacing w:after="60"/>
        <w:ind w:left="340"/>
      </w:pPr>
      <w:r>
        <w:rPr>
          <w:rFonts w:ascii="맑은 고딕" w:hAnsi="맑은 고딕" w:eastAsia="맑은 고딕"/>
          <w:b/>
          <w:i w:val="0"/>
          <w:sz w:val="21"/>
        </w:rPr>
        <w:t xml:space="preserve">농도 구간별 역전 현상: </w:t>
      </w:r>
      <w:r>
        <w:rPr>
          <w:rFonts w:ascii="맑은 고딕" w:hAnsi="맑은 고딕" w:eastAsia="맑은 고딕"/>
          <w:b w:val="0"/>
          <w:i w:val="0"/>
          <w:sz w:val="21"/>
        </w:rPr>
        <w:t>저농도에서 상승, 고농도에서 길항으로 방향이 바뀌는 사례가 보고돼, 단일 시험 조건만으로는 전체 노출 스펙트럼을 대표할 수 없다.</w:t>
      </w:r>
    </w:p>
    <w:p>
      <w:pPr>
        <w:pStyle w:val="ListBullet"/>
        <w:spacing w:after="60"/>
        <w:ind w:left="340"/>
      </w:pPr>
      <w:r>
        <w:rPr>
          <w:rFonts w:ascii="맑은 고딕" w:hAnsi="맑은 고딕" w:eastAsia="맑은 고딕"/>
          <w:b/>
          <w:i w:val="0"/>
          <w:sz w:val="21"/>
        </w:rPr>
        <w:t xml:space="preserve">기전 미상의 상호작용: </w:t>
      </w:r>
      <w:r>
        <w:rPr>
          <w:rFonts w:ascii="맑은 고딕" w:hAnsi="맑은 고딕" w:eastAsia="맑은 고딕"/>
          <w:b w:val="0"/>
          <w:i w:val="0"/>
          <w:sz w:val="21"/>
        </w:rPr>
        <w:t>계면활성제·대사억제 등 알려진 상호작용은 예외 조항으로 걸러낼 수 있지만, 아직 보고되지 않은 조합·기전은 사전에 예측하기 어렵다.</w:t>
      </w:r>
    </w:p>
    <w:tbl>
      <w:tblPr>
        <w:tblStyle w:val="TableGrid"/>
        <w:tblW w:type="auto" w:w="0"/>
        <w:tblLook w:firstColumn="1" w:firstRow="1" w:lastColumn="0" w:lastRow="0" w:noHBand="0" w:noVBand="1" w:val="04A0"/>
      </w:tblPr>
      <w:tblGrid>
        <w:gridCol w:w="9746"/>
      </w:tblGrid>
      <w:tr>
        <w:tc>
          <w:tcPr>
            <w:tcW w:type="dxa" w:w="9746"/>
            <w:shd w:val="clear" w:fill="EAF2F8"/>
          </w:tcPr>
          <w:p>
            <w:r/>
            <w:r>
              <w:rPr>
                <w:rFonts w:ascii="맑은 고딕" w:hAnsi="맑은 고딕" w:eastAsia="맑은 고딕"/>
                <w:b w:val="0"/>
                <w:i w:val="0"/>
                <w:color w:val="2C3E50"/>
                <w:sz w:val="19"/>
              </w:rPr>
              <w:t>정리하면, "검증이 불가능하다"는 사실 자체가 대응 전략의 출발점이다. 전수 실험이라는 이상적 해법이 막혀 있는 상태에서, 가진 근거를 최대한 조합하는 현실적 전략이 다음 아이디어의 내용.</w:t>
            </w:r>
          </w:p>
        </w:tc>
      </w:tr>
    </w:tbl>
    <w:p>
      <w:pPr>
        <w:spacing w:after="80"/>
      </w:pPr>
    </w:p>
    <w:p>
      <w:r>
        <w:br w:type="page"/>
      </w:r>
    </w:p>
    <w:p>
      <w:pPr>
        <w:pStyle w:val="Heading1"/>
        <w:spacing w:before="360"/>
      </w:pPr>
      <w:r>
        <w:t>아이디어 4. 그래서 어떻게 대응하는가 — 폐기가 아니라 재배치</w:t>
      </w:r>
    </w:p>
    <w:p>
      <w:pPr>
        <w:spacing w:after="120"/>
      </w:pPr>
      <w:r>
        <w:rPr>
          <w:rFonts w:ascii="맑은 고딕" w:hAnsi="맑은 고딕" w:eastAsia="맑은 고딕"/>
          <w:b w:val="0"/>
          <w:i w:val="0"/>
          <w:sz w:val="21"/>
        </w:rPr>
        <w:t>현재로서는 가산성 가정의 근본적 한계를 완전히 해소하는 단일 해법은 없다. 다만 다음과 같은 다층적 보완 전략이 실무·학계에서 제안되고 있다.</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2041"/>
            <w:shd w:val="clear" w:fill="2E74B5"/>
          </w:tcPr>
          <w:p>
            <w:pPr>
              <w:jc w:val="center"/>
            </w:pPr>
            <w:r/>
            <w:r>
              <w:rPr>
                <w:rFonts w:ascii="맑은 고딕" w:hAnsi="맑은 고딕" w:eastAsia="맑은 고딕"/>
                <w:b/>
                <w:i w:val="0"/>
                <w:color w:val="FFFFFF"/>
                <w:sz w:val="17"/>
              </w:rPr>
              <w:t>전략</w:t>
            </w:r>
          </w:p>
        </w:tc>
        <w:tc>
          <w:tcPr>
            <w:tcW w:type="dxa" w:w="3742"/>
            <w:shd w:val="clear" w:fill="2E74B5"/>
          </w:tcPr>
          <w:p>
            <w:pPr>
              <w:jc w:val="center"/>
            </w:pPr>
            <w:r/>
            <w:r>
              <w:rPr>
                <w:rFonts w:ascii="맑은 고딕" w:hAnsi="맑은 고딕" w:eastAsia="맑은 고딕"/>
                <w:b/>
                <w:i w:val="0"/>
                <w:color w:val="FFFFFF"/>
                <w:sz w:val="17"/>
              </w:rPr>
              <w:t>핵심 내용</w:t>
            </w:r>
          </w:p>
        </w:tc>
        <w:tc>
          <w:tcPr>
            <w:tcW w:type="dxa" w:w="2608"/>
            <w:shd w:val="clear" w:fill="2E74B5"/>
          </w:tcPr>
          <w:p>
            <w:pPr>
              <w:jc w:val="center"/>
            </w:pPr>
            <w:r/>
            <w:r>
              <w:rPr>
                <w:rFonts w:ascii="맑은 고딕" w:hAnsi="맑은 고딕" w:eastAsia="맑은 고딕"/>
                <w:b/>
                <w:i w:val="0"/>
                <w:color w:val="FFFFFF"/>
                <w:sz w:val="17"/>
              </w:rPr>
              <w:t>한계</w:t>
            </w:r>
          </w:p>
        </w:tc>
      </w:tr>
      <w:tr>
        <w:tc>
          <w:tcPr>
            <w:tcW w:type="dxa" w:w="2041"/>
          </w:tcPr>
          <w:p>
            <w:r/>
            <w:r>
              <w:rPr>
                <w:rFonts w:ascii="맑은 고딕" w:hAnsi="맑은 고딕" w:eastAsia="맑은 고딕"/>
                <w:b w:val="0"/>
                <w:i w:val="0"/>
                <w:sz w:val="17"/>
              </w:rPr>
              <w:t>가중치 증거 (Weight of Evidence)</w:t>
            </w:r>
          </w:p>
        </w:tc>
        <w:tc>
          <w:tcPr>
            <w:tcW w:type="dxa" w:w="3742"/>
          </w:tcPr>
          <w:p>
            <w:r/>
            <w:r>
              <w:rPr>
                <w:rFonts w:ascii="맑은 고딕" w:hAnsi="맑은 고딕" w:eastAsia="맑은 고딕"/>
                <w:b w:val="0"/>
                <w:i w:val="0"/>
                <w:sz w:val="17"/>
              </w:rPr>
              <w:t>CT 계산 결과를 단독 근거로 쓰지 않고 시험관내 시험(RhE, BCOP, ICE 등) 결과와 교차 검증</w:t>
            </w:r>
          </w:p>
        </w:tc>
        <w:tc>
          <w:tcPr>
            <w:tcW w:type="dxa" w:w="2608"/>
          </w:tcPr>
          <w:p>
            <w:r/>
            <w:r>
              <w:rPr>
                <w:rFonts w:ascii="맑은 고딕" w:hAnsi="맑은 고딕" w:eastAsia="맑은 고딕"/>
                <w:b w:val="0"/>
                <w:i w:val="0"/>
                <w:sz w:val="17"/>
              </w:rPr>
              <w:t>시험관내 자료가 없는 신규 제형에는 적용 곤란</w:t>
            </w:r>
          </w:p>
        </w:tc>
      </w:tr>
      <w:tr>
        <w:tc>
          <w:tcPr>
            <w:tcW w:type="dxa" w:w="2041"/>
            <w:shd w:val="clear" w:fill="F0F4F8"/>
          </w:tcPr>
          <w:p>
            <w:r/>
            <w:r>
              <w:rPr>
                <w:rFonts w:ascii="맑은 고딕" w:hAnsi="맑은 고딕" w:eastAsia="맑은 고딕"/>
                <w:b w:val="0"/>
                <w:i w:val="0"/>
                <w:sz w:val="17"/>
              </w:rPr>
              <w:t>알려진 상호작용 성분 배제 규칙</w:t>
            </w:r>
          </w:p>
        </w:tc>
        <w:tc>
          <w:tcPr>
            <w:tcW w:type="dxa" w:w="3742"/>
            <w:shd w:val="clear" w:fill="F0F4F8"/>
          </w:tcPr>
          <w:p>
            <w:r/>
            <w:r>
              <w:rPr>
                <w:rFonts w:ascii="맑은 고딕" w:hAnsi="맑은 고딕" w:eastAsia="맑은 고딕"/>
                <w:b w:val="0"/>
                <w:i w:val="0"/>
                <w:sz w:val="17"/>
              </w:rPr>
              <w:t>계면활성제·산·염기 등 GHS가 이미 지정한 비가산성 성분 포함 시 CT 계산에서 제외하고 실측 우선</w:t>
            </w:r>
          </w:p>
        </w:tc>
        <w:tc>
          <w:tcPr>
            <w:tcW w:type="dxa" w:w="2608"/>
            <w:shd w:val="clear" w:fill="F0F4F8"/>
          </w:tcPr>
          <w:p>
            <w:r/>
            <w:r>
              <w:rPr>
                <w:rFonts w:ascii="맑은 고딕" w:hAnsi="맑은 고딕" w:eastAsia="맑은 고딕"/>
                <w:b w:val="0"/>
                <w:i w:val="0"/>
                <w:sz w:val="17"/>
              </w:rPr>
              <w:t>미지의 상호작용은 걸러내지 못함</w:t>
            </w:r>
          </w:p>
        </w:tc>
      </w:tr>
      <w:tr>
        <w:tc>
          <w:tcPr>
            <w:tcW w:type="dxa" w:w="2041"/>
          </w:tcPr>
          <w:p>
            <w:r/>
            <w:r>
              <w:rPr>
                <w:rFonts w:ascii="맑은 고딕" w:hAnsi="맑은 고딕" w:eastAsia="맑은 고딕"/>
                <w:b w:val="0"/>
                <w:i w:val="0"/>
                <w:sz w:val="17"/>
              </w:rPr>
              <w:t>물리화학적 특성 추가 반영</w:t>
            </w:r>
          </w:p>
        </w:tc>
        <w:tc>
          <w:tcPr>
            <w:tcW w:type="dxa" w:w="3742"/>
          </w:tcPr>
          <w:p>
            <w:r/>
            <w:r>
              <w:rPr>
                <w:rFonts w:ascii="맑은 고딕" w:hAnsi="맑은 고딕" w:eastAsia="맑은 고딕"/>
                <w:b w:val="0"/>
                <w:i w:val="0"/>
                <w:sz w:val="17"/>
              </w:rPr>
              <w:t>계면활성제 함량(%), 용매 극성 등 침투능에 영향을 주는 변수를 별도로 고려</w:t>
            </w:r>
          </w:p>
        </w:tc>
        <w:tc>
          <w:tcPr>
            <w:tcW w:type="dxa" w:w="2608"/>
          </w:tcPr>
          <w:p>
            <w:r/>
            <w:r>
              <w:rPr>
                <w:rFonts w:ascii="맑은 고딕" w:hAnsi="맑은 고딕" w:eastAsia="맑은 고딕"/>
                <w:b w:val="0"/>
                <w:i w:val="0"/>
                <w:sz w:val="17"/>
              </w:rPr>
              <w:t>정량적 보정계수에 대한 합의 부족</w:t>
            </w:r>
          </w:p>
        </w:tc>
      </w:tr>
      <w:tr>
        <w:tc>
          <w:tcPr>
            <w:tcW w:type="dxa" w:w="2041"/>
            <w:shd w:val="clear" w:fill="F0F4F8"/>
          </w:tcPr>
          <w:p>
            <w:r/>
            <w:r>
              <w:rPr>
                <w:rFonts w:ascii="맑은 고딕" w:hAnsi="맑은 고딕" w:eastAsia="맑은 고딕"/>
                <w:b w:val="0"/>
                <w:i w:val="0"/>
                <w:sz w:val="17"/>
              </w:rPr>
              <w:t>QSAR/기전기반 모델링</w:t>
            </w:r>
          </w:p>
        </w:tc>
        <w:tc>
          <w:tcPr>
            <w:tcW w:type="dxa" w:w="3742"/>
            <w:shd w:val="clear" w:fill="F0F4F8"/>
          </w:tcPr>
          <w:p>
            <w:r/>
            <w:r>
              <w:rPr>
                <w:rFonts w:ascii="맑은 고딕" w:hAnsi="맑은 고딕" w:eastAsia="맑은 고딕"/>
                <w:b w:val="0"/>
                <w:i w:val="0"/>
                <w:sz w:val="17"/>
              </w:rPr>
              <w:t>농도가산모형(CA)·독립작용모형(IA) 양쪽에 기반한 다중회귀·기계학습 모델로 이성분 조합의 상호작용 예측</w:t>
            </w:r>
          </w:p>
        </w:tc>
        <w:tc>
          <w:tcPr>
            <w:tcW w:type="dxa" w:w="2608"/>
            <w:shd w:val="clear" w:fill="F0F4F8"/>
          </w:tcPr>
          <w:p>
            <w:r/>
            <w:r>
              <w:rPr>
                <w:rFonts w:ascii="맑은 고딕" w:hAnsi="맑은 고딕" w:eastAsia="맑은 고딕"/>
                <w:b w:val="0"/>
                <w:i w:val="0"/>
                <w:sz w:val="17"/>
              </w:rPr>
              <w:t>복잡한 다성분 제형에는 적용 사례가 아직 제한적, 적용영역(AD) 정의 필요</w:t>
            </w:r>
          </w:p>
        </w:tc>
      </w:tr>
      <w:tr>
        <w:tc>
          <w:tcPr>
            <w:tcW w:type="dxa" w:w="2041"/>
          </w:tcPr>
          <w:p>
            <w:r/>
            <w:r>
              <w:rPr>
                <w:rFonts w:ascii="맑은 고딕" w:hAnsi="맑은 고딕" w:eastAsia="맑은 고딕"/>
                <w:b w:val="0"/>
                <w:i w:val="0"/>
                <w:sz w:val="17"/>
              </w:rPr>
              <w:t>PBTK/AOP 기반 통합평가(IATA)</w:t>
            </w:r>
          </w:p>
        </w:tc>
        <w:tc>
          <w:tcPr>
            <w:tcW w:type="dxa" w:w="3742"/>
          </w:tcPr>
          <w:p>
            <w:r/>
            <w:r>
              <w:rPr>
                <w:rFonts w:ascii="맑은 고딕" w:hAnsi="맑은 고딕" w:eastAsia="맑은 고딕"/>
                <w:b w:val="0"/>
                <w:i w:val="0"/>
                <w:sz w:val="17"/>
              </w:rPr>
              <w:t>생리학적기반 동태모델(PBTK), 유해결과경로(AOP)를 결합해 단일물질 자료를 넘어서는 기전기반 통합 평가</w:t>
            </w:r>
          </w:p>
        </w:tc>
        <w:tc>
          <w:tcPr>
            <w:tcW w:type="dxa" w:w="2608"/>
          </w:tcPr>
          <w:p>
            <w:r/>
            <w:r>
              <w:rPr>
                <w:rFonts w:ascii="맑은 고딕" w:hAnsi="맑은 고딕" w:eastAsia="맑은 고딕"/>
                <w:b w:val="0"/>
                <w:i w:val="0"/>
                <w:sz w:val="17"/>
              </w:rPr>
              <w:t>자료·모델 구축에 상당한 자원 소요, 표준화 미흡</w:t>
            </w:r>
          </w:p>
        </w:tc>
      </w:tr>
    </w:tbl>
    <w:p>
      <w:pPr>
        <w:spacing w:after="40"/>
      </w:pPr>
    </w:p>
    <w:p>
      <w:pPr>
        <w:pStyle w:val="Heading2"/>
        <w:spacing w:before="240"/>
      </w:pPr>
      <w:r>
        <w:t>이를 하나의 흐름으로 통합하면</w:t>
      </w:r>
    </w:p>
    <w:p>
      <w:pPr>
        <w:spacing w:after="120"/>
      </w:pPr>
      <w:r>
        <w:rPr>
          <w:rFonts w:ascii="맑은 고딕" w:hAnsi="맑은 고딕" w:eastAsia="맑은 고딕"/>
          <w:b w:val="0"/>
          <w:i w:val="0"/>
          <w:sz w:val="21"/>
        </w:rPr>
        <w:t>위 대안들을 실무에 적용 가능한 형태로 통합하면, 아래와 같은 단계적 의사결정 흐름을 제안할 수 있다.</w:t>
      </w:r>
    </w:p>
    <w:p>
      <w:pPr>
        <w:jc w:val="center"/>
      </w:pPr>
      <w:r>
        <w:drawing>
          <wp:inline xmlns:a="http://schemas.openxmlformats.org/drawingml/2006/main" xmlns:pic="http://schemas.openxmlformats.org/drawingml/2006/picture">
            <wp:extent cx="4140000" cy="5256122"/>
            <wp:docPr id="3" name="Picture 3"/>
            <wp:cNvGraphicFramePr>
              <a:graphicFrameLocks noChangeAspect="1"/>
            </wp:cNvGraphicFramePr>
            <a:graphic>
              <a:graphicData uri="http://schemas.openxmlformats.org/drawingml/2006/picture">
                <pic:pic>
                  <pic:nvPicPr>
                    <pic:cNvPr id="0" name="fig_decision_flow.png"/>
                    <pic:cNvPicPr/>
                  </pic:nvPicPr>
                  <pic:blipFill>
                    <a:blip r:embed="rId11"/>
                    <a:stretch>
                      <a:fillRect/>
                    </a:stretch>
                  </pic:blipFill>
                  <pic:spPr>
                    <a:xfrm>
                      <a:off x="0" y="0"/>
                      <a:ext cx="4140000" cy="5256122"/>
                    </a:xfrm>
                    <a:prstGeom prst="rect"/>
                  </pic:spPr>
                </pic:pic>
              </a:graphicData>
            </a:graphic>
          </wp:inline>
        </w:drawing>
      </w:r>
    </w:p>
    <w:p>
      <w:pPr>
        <w:spacing w:after="240"/>
        <w:jc w:val="center"/>
      </w:pPr>
      <w:r>
        <w:rPr>
          <w:rFonts w:ascii="맑은 고딕" w:hAnsi="맑은 고딕" w:eastAsia="맑은 고딕"/>
          <w:b w:val="0"/>
          <w:i/>
          <w:color w:val="7F8C8D"/>
          <w:sz w:val="18"/>
        </w:rPr>
        <w:t>그림 3. 혼합물(농약 제형) 안구·피부자극 평가를 위한 단계적 의사결정 흐름도 (제안).</w:t>
      </w:r>
    </w:p>
    <w:p>
      <w:pPr>
        <w:spacing w:after="120"/>
      </w:pPr>
      <w:r>
        <w:rPr>
          <w:rFonts w:ascii="맑은 고딕" w:hAnsi="맑은 고딕" w:eastAsia="맑은 고딕"/>
          <w:b w:val="0"/>
          <w:i w:val="0"/>
          <w:sz w:val="21"/>
        </w:rPr>
        <w:t>이 흐름도의 핵심은, CT 접근법을 전면 신뢰하거나 전면 불신하는 이분법이 아니라, ① GHS가 이미 인지한 예외 성분을 먼저 걸러내고, ② 문헌 기반으로 알려진 상호작용 성분을 추가로 스크리닝하며, ③ 가능한 경우 시험관내 자료와 교차검증하고, ④ 근거가 일치할 때만 동물시험 면제를 고려하는 다층적 필터링 구조에 있다.</w:t>
      </w:r>
    </w:p>
    <w:p>
      <w:pPr>
        <w:pStyle w:val="Heading2"/>
        <w:spacing w:before="240"/>
      </w:pPr>
      <w:r>
        <w:t>결론 — CT는 버릴 도구가 아니라 재배치할 도구</w:t>
      </w:r>
    </w:p>
    <w:p>
      <w:pPr>
        <w:pStyle w:val="ListBullet"/>
        <w:spacing w:after="60"/>
        <w:ind w:left="340"/>
      </w:pPr>
      <w:r>
        <w:rPr>
          <w:rFonts w:ascii="맑은 고딕" w:hAnsi="맑은 고딕" w:eastAsia="맑은 고딕"/>
          <w:b w:val="0"/>
          <w:i w:val="0"/>
          <w:sz w:val="21"/>
        </w:rPr>
        <w:t>가산성 가정은 화학물질이 서로 독립적으로 작용한다는 전제에 기반하지만, 실제 제형에서는 대사적 상호작용, 흡수·투과 촉진, 물리화학적 길항(미셀형성 등)으로 이 전제가 깨질 수 있다.</w:t>
      </w:r>
    </w:p>
    <w:p>
      <w:pPr>
        <w:pStyle w:val="ListBullet"/>
        <w:spacing w:after="60"/>
        <w:ind w:left="340"/>
      </w:pPr>
      <w:r>
        <w:rPr>
          <w:rFonts w:ascii="맑은 고딕" w:hAnsi="맑은 고딕" w:eastAsia="맑은 고딕"/>
          <w:b w:val="0"/>
          <w:i w:val="0"/>
          <w:sz w:val="21"/>
        </w:rPr>
        <w:t>이는 이론적 우려가 아니라 여러 실증 연구(60개 혼합물 지점 중 52%가 비가산적)에서 확인된 문제이며, GHS 규정 자체도 일부 성분군에 대해 이를 인정하고 예외 조항을 두고 있다.</w:t>
      </w:r>
    </w:p>
    <w:p>
      <w:pPr>
        <w:pStyle w:val="ListBullet"/>
        <w:spacing w:after="60"/>
        <w:ind w:left="340"/>
      </w:pPr>
      <w:r>
        <w:rPr>
          <w:rFonts w:ascii="맑은 고딕" w:hAnsi="맑은 고딕" w:eastAsia="맑은 고딕"/>
          <w:b w:val="0"/>
          <w:i w:val="0"/>
          <w:sz w:val="21"/>
        </w:rPr>
        <w:t>그러나 예외 조항은 알려진 상호작용에만 대응할 뿐, 성분 수·배합비 조합이 기하급수적으로 늘어나는 실제 제형에서 모든 상호작용을 사전 실험으로 검증하는 것은 현실적으로 불가능하다.</w:t>
      </w:r>
    </w:p>
    <w:p>
      <w:pPr>
        <w:pStyle w:val="ListBullet"/>
        <w:spacing w:after="60"/>
        <w:ind w:left="340"/>
      </w:pPr>
      <w:r>
        <w:rPr>
          <w:rFonts w:ascii="맑은 고딕" w:hAnsi="맑은 고딕" w:eastAsia="맑은 고딕"/>
          <w:b w:val="0"/>
          <w:i w:val="0"/>
          <w:sz w:val="21"/>
        </w:rPr>
        <w:t>따라서 CT 접근법을 완전 대체 도구가 아닌 1차 스크리닝 + 가중치 증거 구성요소로 자리매김 시키고, 알려진 위험 성분 배제 규칙, 시험관내 교차검증, 기전기반 모델링(QSAR/PBTK/AOP)을 병행하는 다층적 접근이 현재 가장 현실적인 대응 전략이다.</w:t>
      </w:r>
    </w:p>
    <w:p>
      <w:pPr>
        <w:spacing w:after="120"/>
      </w:pPr>
      <w:r>
        <w:rPr>
          <w:rFonts w:ascii="맑은 고딕" w:hAnsi="맑은 고딕" w:eastAsia="맑은 고딕"/>
          <w:b w:val="0"/>
          <w:i w:val="0"/>
          <w:sz w:val="21"/>
        </w:rPr>
        <w:t>정리하면, GHS CT 접근법의 근본적 가정(가산성)에 대한 문제 제기는 정당한 과학적 비판이며, 이는 현재 국제적으로도 미해결 과제로 남아 있다. 다만 이것이 CT 접근법 자체의 폐기를 의미하지 않으며, 오히려 어떤 조건에서 CT 접근법을 신뢰할 수 있는가를 정교화하는 방향(가중치 증거, 예외 성분 배제, 기전기반 모델 통합)으로 관련 연구가 진행되고 있다는 점이 중요하다.</w:t>
      </w:r>
    </w:p>
    <w:p>
      <w:r>
        <w:br w:type="page"/>
      </w:r>
    </w:p>
    <w:p>
      <w:pPr>
        <w:pStyle w:val="Heading1"/>
        <w:spacing w:before="360"/>
      </w:pPr>
      <w:r>
        <w:t>아이디어 5. 이 논리를 모델 개발로 옮기면 — Track A / Track B 병행</w:t>
      </w:r>
    </w:p>
    <w:p>
      <w:pPr>
        <w:spacing w:after="120"/>
      </w:pPr>
      <w:r>
        <w:rPr>
          <w:rFonts w:ascii="맑은 고딕" w:hAnsi="맑은 고딕" w:eastAsia="맑은 고딕"/>
          <w:b w:val="0"/>
          <w:i w:val="0"/>
          <w:sz w:val="21"/>
        </w:rPr>
        <w:t>여기서부터는 앞선 논의(가산성 가정의 한계)를 실제 QSAR 모델 개발 계획으로 구체화한 것이다. 현재 데이터 수집이 진행 중인 단계임을 고려해, (A) 데이터를 최대한 수집해 관찰값을 직접 예측하는 트랙과 (B) GHS CT 예측값을 baseline으로 두고 그 편차만을 학습하는 하이브리드 트랙을 병행 개발하는 전략을 제안한다. 두 트랙은 동일한 원자료(성분 SMILES·농도·pH·관찰 GHS 라벨)를 공유하므로 수집 파이프라인을 이원화할 필요는 없다.</w:t>
      </w:r>
    </w:p>
    <w:p>
      <w:pPr>
        <w:jc w:val="center"/>
      </w:pPr>
      <w:r>
        <w:drawing>
          <wp:inline xmlns:a="http://schemas.openxmlformats.org/drawingml/2006/main" xmlns:pic="http://schemas.openxmlformats.org/drawingml/2006/picture">
            <wp:extent cx="4860000" cy="4290760"/>
            <wp:docPr id="4" name="Picture 4"/>
            <wp:cNvGraphicFramePr>
              <a:graphicFrameLocks noChangeAspect="1"/>
            </wp:cNvGraphicFramePr>
            <a:graphic>
              <a:graphicData uri="http://schemas.openxmlformats.org/drawingml/2006/picture">
                <pic:pic>
                  <pic:nvPicPr>
                    <pic:cNvPr id="0" name="fig_trackab.png"/>
                    <pic:cNvPicPr/>
                  </pic:nvPicPr>
                  <pic:blipFill>
                    <a:blip r:embed="rId12"/>
                    <a:stretch>
                      <a:fillRect/>
                    </a:stretch>
                  </pic:blipFill>
                  <pic:spPr>
                    <a:xfrm>
                      <a:off x="0" y="0"/>
                      <a:ext cx="4860000" cy="4290760"/>
                    </a:xfrm>
                    <a:prstGeom prst="rect"/>
                  </pic:spPr>
                </pic:pic>
              </a:graphicData>
            </a:graphic>
          </wp:inline>
        </w:drawing>
      </w:r>
    </w:p>
    <w:p>
      <w:pPr>
        <w:spacing w:after="240"/>
        <w:jc w:val="center"/>
      </w:pPr>
      <w:r>
        <w:rPr>
          <w:rFonts w:ascii="맑은 고딕" w:hAnsi="맑은 고딕" w:eastAsia="맑은 고딕"/>
          <w:b w:val="0"/>
          <w:i/>
          <w:color w:val="7F8C8D"/>
          <w:sz w:val="18"/>
        </w:rPr>
        <w:t>그림 4. QSAR 모델 개발을 위한 2개 트랙(직접 예측 / CT 보완 하이브리드) 병행 전략도.</w:t>
      </w:r>
    </w:p>
    <w:p>
      <w:pPr>
        <w:pStyle w:val="Heading2"/>
        <w:spacing w:before="240"/>
      </w:pPr>
      <w:r>
        <w:t>Track A — 직접 예측 (데이터 최대 수집)</w:t>
      </w:r>
    </w:p>
    <w:p>
      <w:pPr>
        <w:spacing w:after="120"/>
      </w:pPr>
      <w:r>
        <w:rPr>
          <w:rFonts w:ascii="맑은 고딕" w:hAnsi="맑은 고딕" w:eastAsia="맑은 고딕"/>
          <w:b w:val="0"/>
          <w:i w:val="0"/>
          <w:sz w:val="21"/>
        </w:rPr>
        <w:t>Track A는 CT 예측값을 참조하지 않고, 성분 구조·농도·pH 등 원 특징으로부터 관찰된 GHS 분류를 곧바로 학습한다. 이 트랙의 성패는 전적으로 데이터 양과 클래스 균형에 달려 있으므로, 수집 작업을 다음 두 방향으로 최대화할 필요가 있다.</w:t>
      </w:r>
    </w:p>
    <w:p>
      <w:pPr>
        <w:pStyle w:val="ListBullet"/>
        <w:spacing w:after="60"/>
        <w:ind w:left="340"/>
      </w:pPr>
      <w:r>
        <w:rPr>
          <w:rFonts w:ascii="맑은 고딕" w:hAnsi="맑은 고딕" w:eastAsia="맑은 고딕"/>
          <w:b/>
          <w:i w:val="0"/>
          <w:sz w:val="21"/>
        </w:rPr>
        <w:t xml:space="preserve">공개 데이터베이스 확충: </w:t>
      </w:r>
      <w:r>
        <w:rPr>
          <w:rFonts w:ascii="맑은 고딕" w:hAnsi="맑은 고딕" w:eastAsia="맑은 고딕"/>
          <w:b w:val="0"/>
          <w:i w:val="0"/>
          <w:sz w:val="21"/>
        </w:rPr>
        <w:t>ECHA CHEM(REACH 등록자료), US EPA ECOTOX Knowledgebase, PubChem BioAssay 등에서 확보 가능한 이성분·다성분 혼합물 자극/독성 자료를 추가 수집해 표본 수를 늘린다.</w:t>
      </w:r>
    </w:p>
    <w:p>
      <w:pPr>
        <w:pStyle w:val="ListBullet"/>
        <w:spacing w:after="60"/>
        <w:ind w:left="340"/>
      </w:pPr>
      <w:r>
        <w:rPr>
          <w:rFonts w:ascii="맑은 고딕" w:hAnsi="맑은 고딕" w:eastAsia="맑은 고딕"/>
          <w:b/>
          <w:i w:val="0"/>
          <w:sz w:val="21"/>
        </w:rPr>
        <w:t xml:space="preserve">단일물질 QSAR로부터의 전이학습: </w:t>
      </w:r>
      <w:r>
        <w:rPr>
          <w:rFonts w:ascii="맑은 고딕" w:hAnsi="맑은 고딕" w:eastAsia="맑은 고딕"/>
          <w:b w:val="0"/>
          <w:i w:val="0"/>
          <w:sz w:val="21"/>
        </w:rPr>
        <w:t>혼합물 라벨 데이터는 절대적으로 희소하므로, 먼저 단일 성분 단위의 대규모 독성·물성 데이터(logP, 피부투과성 등)로 사전학습한 인코더를 혼합물 문제에 미세조정하는 방식이 최근 환경독성 분야에서도 효과적으로 보고되고 있다. 기전적으로 관련된 대규모 baseline 성질(예: 소수성)로 사전학습한 그래프신경망을 소규모 실험 데이터셋에 전이했을 때, 훨씬 큰 비관련 데이터셋으로 사전학습한 경우와 동등한 성능을 보였다는 연구가 있다.</w:t>
      </w:r>
    </w:p>
    <w:p>
      <w:pPr>
        <w:spacing w:after="120"/>
      </w:pPr>
      <w:r>
        <w:rPr>
          <w:rFonts w:ascii="맑은 고딕" w:hAnsi="맑은 고딕" w:eastAsia="맑은 고딕"/>
          <w:b w:val="0"/>
          <w:i w:val="0"/>
          <w:sz w:val="21"/>
        </w:rPr>
        <w:t>다만 Track A는 실제 제형의 70~85%가 GHS 미분류에 쏠려 있는 근본적인 클래스 불균형 문제를 안고 있으므로, 다음과 같은 불균형 처리 기법을 반드시 병행해야 한다.</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shd w:val="clear" w:fill="2E74B5"/>
          </w:tcPr>
          <w:p>
            <w:pPr>
              <w:jc w:val="center"/>
            </w:pPr>
            <w:r/>
            <w:r>
              <w:rPr>
                <w:rFonts w:ascii="맑은 고딕" w:hAnsi="맑은 고딕" w:eastAsia="맑은 고딕"/>
                <w:b/>
                <w:i w:val="0"/>
                <w:color w:val="FFFFFF"/>
                <w:sz w:val="17"/>
              </w:rPr>
              <w:t>기법</w:t>
            </w:r>
          </w:p>
        </w:tc>
        <w:tc>
          <w:tcPr>
            <w:tcW w:type="dxa" w:w="3061"/>
            <w:shd w:val="clear" w:fill="2E74B5"/>
          </w:tcPr>
          <w:p>
            <w:pPr>
              <w:jc w:val="center"/>
            </w:pPr>
            <w:r/>
            <w:r>
              <w:rPr>
                <w:rFonts w:ascii="맑은 고딕" w:hAnsi="맑은 고딕" w:eastAsia="맑은 고딕"/>
                <w:b/>
                <w:i w:val="0"/>
                <w:color w:val="FFFFFF"/>
                <w:sz w:val="17"/>
              </w:rPr>
              <w:t>방식</w:t>
            </w:r>
          </w:p>
        </w:tc>
        <w:tc>
          <w:tcPr>
            <w:tcW w:type="dxa" w:w="3628"/>
            <w:shd w:val="clear" w:fill="2E74B5"/>
          </w:tcPr>
          <w:p>
            <w:pPr>
              <w:jc w:val="center"/>
            </w:pPr>
            <w:r/>
            <w:r>
              <w:rPr>
                <w:rFonts w:ascii="맑은 고딕" w:hAnsi="맑은 고딕" w:eastAsia="맑은 고딕"/>
                <w:b/>
                <w:i w:val="0"/>
                <w:color w:val="FFFFFF"/>
                <w:sz w:val="17"/>
              </w:rPr>
              <w:t>독성 QSAR 분야 근거</w:t>
            </w:r>
          </w:p>
        </w:tc>
      </w:tr>
      <w:tr>
        <w:tc>
          <w:tcPr>
            <w:tcW w:type="dxa" w:w="1701"/>
          </w:tcPr>
          <w:p>
            <w:r/>
            <w:r>
              <w:rPr>
                <w:rFonts w:ascii="맑은 고딕" w:hAnsi="맑은 고딕" w:eastAsia="맑은 고딕"/>
                <w:b w:val="0"/>
                <w:i w:val="0"/>
                <w:sz w:val="17"/>
              </w:rPr>
              <w:t>class weighting</w:t>
            </w:r>
          </w:p>
        </w:tc>
        <w:tc>
          <w:tcPr>
            <w:tcW w:type="dxa" w:w="3061"/>
          </w:tcPr>
          <w:p>
            <w:r/>
            <w:r>
              <w:rPr>
                <w:rFonts w:ascii="맑은 고딕" w:hAnsi="맑은 고딕" w:eastAsia="맑은 고딕"/>
                <w:b w:val="0"/>
                <w:i w:val="0"/>
                <w:sz w:val="17"/>
              </w:rPr>
              <w:t>손실함수에서 소수 클래스(상승·길항 사례)에 더 큰 가중치 부여</w:t>
            </w:r>
          </w:p>
        </w:tc>
        <w:tc>
          <w:tcPr>
            <w:tcW w:type="dxa" w:w="3628"/>
          </w:tcPr>
          <w:p>
            <w:r/>
            <w:r>
              <w:rPr>
                <w:rFonts w:ascii="맑은 고딕" w:hAnsi="맑은 고딕" w:eastAsia="맑은 고딕"/>
                <w:b w:val="0"/>
                <w:i w:val="0"/>
                <w:sz w:val="17"/>
              </w:rPr>
              <w:t>추가 데이터 생성 없이 즉시 적용 가능한 기본 옵션</w:t>
            </w:r>
          </w:p>
        </w:tc>
      </w:tr>
      <w:tr>
        <w:tc>
          <w:tcPr>
            <w:tcW w:type="dxa" w:w="1701"/>
            <w:shd w:val="clear" w:fill="F0F4F8"/>
          </w:tcPr>
          <w:p>
            <w:r/>
            <w:r>
              <w:rPr>
                <w:rFonts w:ascii="맑은 고딕" w:hAnsi="맑은 고딕" w:eastAsia="맑은 고딕"/>
                <w:b w:val="0"/>
                <w:i w:val="0"/>
                <w:sz w:val="17"/>
              </w:rPr>
              <w:t>SMOTE (oversampling)</w:t>
            </w:r>
          </w:p>
        </w:tc>
        <w:tc>
          <w:tcPr>
            <w:tcW w:type="dxa" w:w="3061"/>
            <w:shd w:val="clear" w:fill="F0F4F8"/>
          </w:tcPr>
          <w:p>
            <w:r/>
            <w:r>
              <w:rPr>
                <w:rFonts w:ascii="맑은 고딕" w:hAnsi="맑은 고딕" w:eastAsia="맑은 고딕"/>
                <w:b w:val="0"/>
                <w:i w:val="0"/>
                <w:sz w:val="17"/>
              </w:rPr>
              <w:t>소수 클래스 샘플 사이를 보간해 합성 샘플 생성</w:t>
            </w:r>
          </w:p>
        </w:tc>
        <w:tc>
          <w:tcPr>
            <w:tcW w:type="dxa" w:w="3628"/>
            <w:shd w:val="clear" w:fill="F0F4F8"/>
          </w:tcPr>
          <w:p>
            <w:r/>
            <w:r>
              <w:rPr>
                <w:rFonts w:ascii="맑은 고딕" w:hAnsi="맑은 고딕" w:eastAsia="맑은 고딕"/>
                <w:b w:val="0"/>
                <w:i w:val="0"/>
                <w:sz w:val="17"/>
              </w:rPr>
              <w:t>독성 유전독성 데이터셋에서 분자 지문(MACCS)과 결합한 SMOTE가 가장 높은 F1 점수를 기록</w:t>
            </w:r>
          </w:p>
        </w:tc>
      </w:tr>
      <w:tr>
        <w:tc>
          <w:tcPr>
            <w:tcW w:type="dxa" w:w="1701"/>
          </w:tcPr>
          <w:p>
            <w:r/>
            <w:r>
              <w:rPr>
                <w:rFonts w:ascii="맑은 고딕" w:hAnsi="맑은 고딕" w:eastAsia="맑은 고딕"/>
                <w:b w:val="0"/>
                <w:i w:val="0"/>
                <w:sz w:val="17"/>
              </w:rPr>
              <w:t>SMOTEENN</w:t>
            </w:r>
          </w:p>
        </w:tc>
        <w:tc>
          <w:tcPr>
            <w:tcW w:type="dxa" w:w="3061"/>
          </w:tcPr>
          <w:p>
            <w:r/>
            <w:r>
              <w:rPr>
                <w:rFonts w:ascii="맑은 고딕" w:hAnsi="맑은 고딕" w:eastAsia="맑은 고딕"/>
                <w:b w:val="0"/>
                <w:i w:val="0"/>
                <w:sz w:val="17"/>
              </w:rPr>
              <w:t>SMOTE 오버샘플링 후 이웃 기반 정제로 잘못 라벨된 경계 샘플 제거</w:t>
            </w:r>
          </w:p>
        </w:tc>
        <w:tc>
          <w:tcPr>
            <w:tcW w:type="dxa" w:w="3628"/>
          </w:tcPr>
          <w:p>
            <w:r/>
            <w:r>
              <w:rPr>
                <w:rFonts w:ascii="맑은 고딕" w:hAnsi="맑은 고딕" w:eastAsia="맑은 고딕"/>
                <w:b w:val="0"/>
                <w:i w:val="0"/>
                <w:sz w:val="17"/>
              </w:rPr>
              <w:t>Tox21과 같은 고도 불균형 독성 데이터셋에서 성능 개선이 보고됨</w:t>
            </w:r>
          </w:p>
        </w:tc>
      </w:tr>
      <w:tr>
        <w:tc>
          <w:tcPr>
            <w:tcW w:type="dxa" w:w="1701"/>
            <w:shd w:val="clear" w:fill="F0F4F8"/>
          </w:tcPr>
          <w:p>
            <w:r/>
            <w:r>
              <w:rPr>
                <w:rFonts w:ascii="맑은 고딕" w:hAnsi="맑은 고딕" w:eastAsia="맑은 고딕"/>
                <w:b w:val="0"/>
                <w:i w:val="0"/>
                <w:sz w:val="17"/>
              </w:rPr>
              <w:t>undersampling</w:t>
            </w:r>
          </w:p>
        </w:tc>
        <w:tc>
          <w:tcPr>
            <w:tcW w:type="dxa" w:w="3061"/>
            <w:shd w:val="clear" w:fill="F0F4F8"/>
          </w:tcPr>
          <w:p>
            <w:r/>
            <w:r>
              <w:rPr>
                <w:rFonts w:ascii="맑은 고딕" w:hAnsi="맑은 고딕" w:eastAsia="맑은 고딕"/>
                <w:b w:val="0"/>
                <w:i w:val="0"/>
                <w:sz w:val="17"/>
              </w:rPr>
              <w:t>다수 클래스(NC) 샘플 수를 줄여 균형 확보</w:t>
            </w:r>
          </w:p>
        </w:tc>
        <w:tc>
          <w:tcPr>
            <w:tcW w:type="dxa" w:w="3628"/>
            <w:shd w:val="clear" w:fill="F0F4F8"/>
          </w:tcPr>
          <w:p>
            <w:r/>
            <w:r>
              <w:rPr>
                <w:rFonts w:ascii="맑은 고딕" w:hAnsi="맑은 고딕" w:eastAsia="맑은 고딕"/>
                <w:b w:val="0"/>
                <w:i w:val="0"/>
                <w:sz w:val="17"/>
              </w:rPr>
              <w:t>정보 손실 위험이 있으나 소수 클래스 특징이 뚜렷할 때 유효</w:t>
            </w:r>
          </w:p>
        </w:tc>
      </w:tr>
      <w:tr>
        <w:tc>
          <w:tcPr>
            <w:tcW w:type="dxa" w:w="1701"/>
          </w:tcPr>
          <w:p>
            <w:r/>
            <w:r>
              <w:rPr>
                <w:rFonts w:ascii="맑은 고딕" w:hAnsi="맑은 고딕" w:eastAsia="맑은 고딕"/>
                <w:b w:val="0"/>
                <w:i w:val="0"/>
                <w:sz w:val="17"/>
              </w:rPr>
              <w:t>결정 임계값 튜닝</w:t>
            </w:r>
          </w:p>
        </w:tc>
        <w:tc>
          <w:tcPr>
            <w:tcW w:type="dxa" w:w="3061"/>
          </w:tcPr>
          <w:p>
            <w:r/>
            <w:r>
              <w:rPr>
                <w:rFonts w:ascii="맑은 고딕" w:hAnsi="맑은 고딕" w:eastAsia="맑은 고딕"/>
                <w:b w:val="0"/>
                <w:i w:val="0"/>
                <w:sz w:val="17"/>
              </w:rPr>
              <w:t>분류 확률의 판정 경계(threshold)를 데이터 분포에 맞게 재조정</w:t>
            </w:r>
          </w:p>
        </w:tc>
        <w:tc>
          <w:tcPr>
            <w:tcW w:type="dxa" w:w="3628"/>
          </w:tcPr>
          <w:p>
            <w:r/>
            <w:r>
              <w:rPr>
                <w:rFonts w:ascii="맑은 고딕" w:hAnsi="맑은 고딕" w:eastAsia="맑은 고딕"/>
                <w:b w:val="0"/>
                <w:i w:val="0"/>
                <w:sz w:val="17"/>
              </w:rPr>
              <w:t>재샘플링 없이 소수 클래스 재현율을 높이는 보완적 기법으로 제안됨</w:t>
            </w:r>
          </w:p>
        </w:tc>
      </w:tr>
    </w:tbl>
    <w:p>
      <w:pPr>
        <w:spacing w:after="40"/>
      </w:pPr>
    </w:p>
    <w:p>
      <w:pPr>
        <w:pStyle w:val="Heading2"/>
        <w:spacing w:before="240"/>
      </w:pPr>
      <w:r>
        <w:t>Track B — GHS CT 보완 하이브리드 모델</w:t>
      </w:r>
    </w:p>
    <w:p>
      <w:pPr>
        <w:spacing w:after="120"/>
      </w:pPr>
      <w:r>
        <w:rPr>
          <w:rFonts w:ascii="맑은 고딕" w:hAnsi="맑은 고딕" w:eastAsia="맑은 고딕"/>
          <w:b w:val="0"/>
          <w:i w:val="0"/>
          <w:sz w:val="21"/>
        </w:rPr>
        <w:t>Track B는 CT 접근법을 버리지 않고 그 위에 보정 모델을 얹는 구조다. 이는 물리·화학 등 타 분야에서 이미 검증된 잔차학습(residual learning) 프레임워크와 원리적으로 동일하다. 예컨대 원자핵 붕괴반감기 예측에서 거시적 물리모델(ELDM)을 baseline으로 두고 머신러닝이 그 예측오차만을 보정하는 접근이나, 레이저피닝 잔류응력 예측에서 저정밀 해석모델을 신경망으로 보정하는 접근에서, 이러한 baseline+보정 구조가 순수 데이터기반 모델보다 적은 표본으로도 우수한 성능을 냄이 확인된 바 있다.</w:t>
      </w:r>
    </w:p>
    <w:p>
      <w:pPr>
        <w:spacing w:after="120"/>
      </w:pPr>
      <w:r>
        <w:rPr>
          <w:rFonts w:ascii="맑은 고딕" w:hAnsi="맑은 고딕" w:eastAsia="맑은 고딕"/>
          <w:b w:val="0"/>
          <w:i w:val="0"/>
          <w:sz w:val="21"/>
        </w:rPr>
        <w:t>독성학 분야에서도 이미 유사한 하이브리드 설계가 시도되고 있다. 조류 대상 아졸계 살균제 혼합독성 연구에서는 농도가산(CA)·독립작용(IA) 예측값을 분자기술자와 함께 입력변수로 사용한 모델이 가장 높은 예측력을 보였으며, 항생제-살균제 혼합물 연구에서도 QSAR 기술자에 유사도기반(RASAR) 및 잔차기반(ARKA) 기술자를 결합한 하이브리드 모델이 단독 QSAR보다 향상된 품질을 보였다. 병원성 화학물질 혼합물 독성평가에서도 병태생리 모델과 AI를 결합한 하이브리드 프레임워크가 단독 AI 모델의 한계를 보완한다고 보고됐다.</w:t>
      </w:r>
    </w:p>
    <w:p>
      <w:pPr>
        <w:spacing w:after="120"/>
      </w:pPr>
      <w:r>
        <w:rPr>
          <w:rFonts w:ascii="맑은 고딕" w:hAnsi="맑은 고딕" w:eastAsia="맑은 고딕"/>
          <w:b w:val="0"/>
          <w:i w:val="0"/>
          <w:sz w:val="21"/>
        </w:rPr>
        <w:t>Track B의 구체적 설계는 다음과 같다.</w:t>
      </w:r>
    </w:p>
    <w:p>
      <w:pPr>
        <w:pStyle w:val="ListBullet"/>
        <w:spacing w:after="60"/>
        <w:ind w:left="340"/>
      </w:pPr>
      <w:r>
        <w:rPr>
          <w:rFonts w:ascii="맑은 고딕" w:hAnsi="맑은 고딕" w:eastAsia="맑은 고딕"/>
          <w:b/>
          <w:i w:val="0"/>
          <w:sz w:val="21"/>
        </w:rPr>
        <w:t xml:space="preserve">타겟 변수: </w:t>
      </w:r>
      <w:r>
        <w:rPr>
          <w:rFonts w:ascii="맑은 고딕" w:hAnsi="맑은 고딕" w:eastAsia="맑은 고딕"/>
          <w:b w:val="0"/>
          <w:i w:val="0"/>
          <w:sz w:val="21"/>
        </w:rPr>
        <w:t>관찰 GHS 분류(또는 관찰 자극점수) − CT 예측 분류(또는 CT 계산 점수). 연속값이라면 log(MDR)과 유사한 편차 지표로 정의 가능.</w:t>
      </w:r>
    </w:p>
    <w:p>
      <w:pPr>
        <w:pStyle w:val="ListBullet"/>
        <w:spacing w:after="60"/>
        <w:ind w:left="340"/>
      </w:pPr>
      <w:r>
        <w:rPr>
          <w:rFonts w:ascii="맑은 고딕" w:hAnsi="맑은 고딕" w:eastAsia="맑은 고딕"/>
          <w:b/>
          <w:i w:val="0"/>
          <w:sz w:val="21"/>
        </w:rPr>
        <w:t xml:space="preserve">입력 특징: </w:t>
      </w:r>
      <w:r>
        <w:rPr>
          <w:rFonts w:ascii="맑은 고딕" w:hAnsi="맑은 고딕" w:eastAsia="맑은 고딕"/>
          <w:b w:val="0"/>
          <w:i w:val="0"/>
          <w:sz w:val="21"/>
        </w:rPr>
        <w:t>순수 농도가중 항은 이미 CT가 포착하므로 제외하고, 상호작용 항(계면활성제 간 전하조합, logP 차이, 대사효소 억제 곱 등 — 아이디어 4의 QSAR/기전기반 특징)만을 집중 사용한다.</w:t>
      </w:r>
    </w:p>
    <w:p>
      <w:pPr>
        <w:pStyle w:val="ListBullet"/>
        <w:spacing w:after="60"/>
        <w:ind w:left="340"/>
      </w:pPr>
      <w:r>
        <w:rPr>
          <w:rFonts w:ascii="맑은 고딕" w:hAnsi="맑은 고딕" w:eastAsia="맑은 고딕"/>
          <w:b/>
          <w:i w:val="0"/>
          <w:sz w:val="21"/>
        </w:rPr>
        <w:t xml:space="preserve">모델: </w:t>
      </w:r>
      <w:r>
        <w:rPr>
          <w:rFonts w:ascii="맑은 고딕" w:hAnsi="맑은 고딕" w:eastAsia="맑은 고딕"/>
          <w:b w:val="0"/>
          <w:i w:val="0"/>
          <w:sz w:val="21"/>
        </w:rPr>
        <w:t>표본이 적은 초기 단계에서는 트리 기반 모델(RF/XGBoost)이 잔차 학습에 안정적이며, 표본이 축적되면 신경망 기반 보정으로 확장 가능하다.</w:t>
      </w:r>
    </w:p>
    <w:tbl>
      <w:tblPr>
        <w:tblStyle w:val="TableGrid"/>
        <w:tblW w:type="auto" w:w="0"/>
        <w:tblLook w:firstColumn="1" w:firstRow="1" w:lastColumn="0" w:lastRow="0" w:noHBand="0" w:noVBand="1" w:val="04A0"/>
      </w:tblPr>
      <w:tblGrid>
        <w:gridCol w:w="9746"/>
      </w:tblGrid>
      <w:tr>
        <w:tc>
          <w:tcPr>
            <w:tcW w:type="dxa" w:w="9746"/>
            <w:shd w:val="clear" w:fill="EAF2F8"/>
          </w:tcPr>
          <w:p>
            <w:r/>
            <w:r>
              <w:rPr>
                <w:rFonts w:ascii="맑은 고딕" w:hAnsi="맑은 고딕" w:eastAsia="맑은 고딕"/>
                <w:b w:val="0"/>
                <w:i w:val="0"/>
                <w:color w:val="2C3E50"/>
                <w:sz w:val="19"/>
              </w:rPr>
              <w:t>Track B의 가장 큰 장점은 데이터가 적은 현재 상태에서도 즉시 실행 가능하다는 점이다 — CT 예측값은 추가 실험 없이 계산만으로 확보되므로, 관찰-예측 쌍만 있으면 바로 잔차 모델 학습을 시작할 수 있다.</w:t>
            </w:r>
          </w:p>
        </w:tc>
      </w:tr>
    </w:tbl>
    <w:p>
      <w:pPr>
        <w:spacing w:after="80"/>
      </w:pPr>
    </w:p>
    <w:p>
      <w:pPr>
        <w:pStyle w:val="Heading2"/>
        <w:spacing w:before="240"/>
      </w:pPr>
      <w:r>
        <w:t>두 트랙 비교 및 선택 기준</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474"/>
            <w:shd w:val="clear" w:fill="2E74B5"/>
          </w:tcPr>
          <w:p>
            <w:pPr>
              <w:jc w:val="center"/>
            </w:pPr>
            <w:r/>
            <w:r>
              <w:rPr>
                <w:rFonts w:ascii="맑은 고딕" w:hAnsi="맑은 고딕" w:eastAsia="맑은 고딕"/>
                <w:b/>
                <w:i w:val="0"/>
                <w:color w:val="FFFFFF"/>
                <w:sz w:val="17"/>
              </w:rPr>
              <w:t>항목</w:t>
            </w:r>
          </w:p>
        </w:tc>
        <w:tc>
          <w:tcPr>
            <w:tcW w:type="dxa" w:w="3402"/>
            <w:shd w:val="clear" w:fill="2E74B5"/>
          </w:tcPr>
          <w:p>
            <w:pPr>
              <w:jc w:val="center"/>
            </w:pPr>
            <w:r/>
            <w:r>
              <w:rPr>
                <w:rFonts w:ascii="맑은 고딕" w:hAnsi="맑은 고딕" w:eastAsia="맑은 고딕"/>
                <w:b/>
                <w:i w:val="0"/>
                <w:color w:val="FFFFFF"/>
                <w:sz w:val="17"/>
              </w:rPr>
              <w:t>Track A (직접 예측)</w:t>
            </w:r>
          </w:p>
        </w:tc>
        <w:tc>
          <w:tcPr>
            <w:tcW w:type="dxa" w:w="3515"/>
            <w:shd w:val="clear" w:fill="2E74B5"/>
          </w:tcPr>
          <w:p>
            <w:pPr>
              <w:jc w:val="center"/>
            </w:pPr>
            <w:r/>
            <w:r>
              <w:rPr>
                <w:rFonts w:ascii="맑은 고딕" w:hAnsi="맑은 고딕" w:eastAsia="맑은 고딕"/>
                <w:b/>
                <w:i w:val="0"/>
                <w:color w:val="FFFFFF"/>
                <w:sz w:val="17"/>
              </w:rPr>
              <w:t>Track B (CT 보완 하이브리드)</w:t>
            </w:r>
          </w:p>
        </w:tc>
      </w:tr>
      <w:tr>
        <w:tc>
          <w:tcPr>
            <w:tcW w:type="dxa" w:w="1474"/>
          </w:tcPr>
          <w:p>
            <w:r/>
            <w:r>
              <w:rPr>
                <w:rFonts w:ascii="맑은 고딕" w:hAnsi="맑은 고딕" w:eastAsia="맑은 고딕"/>
                <w:b w:val="0"/>
                <w:i w:val="0"/>
                <w:sz w:val="17"/>
              </w:rPr>
              <w:t>필요 데이터량</w:t>
            </w:r>
          </w:p>
        </w:tc>
        <w:tc>
          <w:tcPr>
            <w:tcW w:type="dxa" w:w="3402"/>
          </w:tcPr>
          <w:p>
            <w:r/>
            <w:r>
              <w:rPr>
                <w:rFonts w:ascii="맑은 고딕" w:hAnsi="맑은 고딕" w:eastAsia="맑은 고딕"/>
                <w:b w:val="0"/>
                <w:i w:val="0"/>
                <w:sz w:val="17"/>
              </w:rPr>
              <w:t>많음 — 전체 분포를 학습해야 하므로 데이터 최대화 필수</w:t>
            </w:r>
          </w:p>
        </w:tc>
        <w:tc>
          <w:tcPr>
            <w:tcW w:type="dxa" w:w="3515"/>
          </w:tcPr>
          <w:p>
            <w:r/>
            <w:r>
              <w:rPr>
                <w:rFonts w:ascii="맑은 고딕" w:hAnsi="맑은 고딕" w:eastAsia="맑은 고딕"/>
                <w:b w:val="0"/>
                <w:i w:val="0"/>
                <w:sz w:val="17"/>
              </w:rPr>
              <w:t>상대적으로 적음 — 편차만 학습하므로 신호가 좁고 명확</w:t>
            </w:r>
          </w:p>
        </w:tc>
      </w:tr>
      <w:tr>
        <w:tc>
          <w:tcPr>
            <w:tcW w:type="dxa" w:w="1474"/>
            <w:shd w:val="clear" w:fill="F0F4F8"/>
          </w:tcPr>
          <w:p>
            <w:r/>
            <w:r>
              <w:rPr>
                <w:rFonts w:ascii="맑은 고딕" w:hAnsi="맑은 고딕" w:eastAsia="맑은 고딕"/>
                <w:b w:val="0"/>
                <w:i w:val="0"/>
                <w:sz w:val="17"/>
              </w:rPr>
              <w:t>현 단계 실행 가능성</w:t>
            </w:r>
          </w:p>
        </w:tc>
        <w:tc>
          <w:tcPr>
            <w:tcW w:type="dxa" w:w="3402"/>
            <w:shd w:val="clear" w:fill="F0F4F8"/>
          </w:tcPr>
          <w:p>
            <w:r/>
            <w:r>
              <w:rPr>
                <w:rFonts w:ascii="맑은 고딕" w:hAnsi="맑은 고딕" w:eastAsia="맑은 고딕"/>
                <w:b w:val="0"/>
                <w:i w:val="0"/>
                <w:sz w:val="17"/>
              </w:rPr>
              <w:t>데이터 수집이 완료된 이후 본격 성능 확보 가능</w:t>
            </w:r>
          </w:p>
        </w:tc>
        <w:tc>
          <w:tcPr>
            <w:tcW w:type="dxa" w:w="3515"/>
            <w:shd w:val="clear" w:fill="F0F4F8"/>
          </w:tcPr>
          <w:p>
            <w:r/>
            <w:r>
              <w:rPr>
                <w:rFonts w:ascii="맑은 고딕" w:hAnsi="맑은 고딕" w:eastAsia="맑은 고딕"/>
                <w:b w:val="0"/>
                <w:i w:val="0"/>
                <w:sz w:val="17"/>
              </w:rPr>
              <w:t>현재 데이터로도 즉시 시작 가능 (CT는 계산만으로 확보)</w:t>
            </w:r>
          </w:p>
        </w:tc>
      </w:tr>
      <w:tr>
        <w:tc>
          <w:tcPr>
            <w:tcW w:type="dxa" w:w="1474"/>
          </w:tcPr>
          <w:p>
            <w:r/>
            <w:r>
              <w:rPr>
                <w:rFonts w:ascii="맑은 고딕" w:hAnsi="맑은 고딕" w:eastAsia="맑은 고딕"/>
                <w:b w:val="0"/>
                <w:i w:val="0"/>
                <w:sz w:val="17"/>
              </w:rPr>
              <w:t>해석 가능성</w:t>
            </w:r>
          </w:p>
        </w:tc>
        <w:tc>
          <w:tcPr>
            <w:tcW w:type="dxa" w:w="3402"/>
          </w:tcPr>
          <w:p>
            <w:r/>
            <w:r>
              <w:rPr>
                <w:rFonts w:ascii="맑은 고딕" w:hAnsi="맑은 고딕" w:eastAsia="맑은 고딕"/>
                <w:b w:val="0"/>
                <w:i w:val="0"/>
                <w:sz w:val="17"/>
              </w:rPr>
              <w:t>상가항과 상호작용항이 뒤섞여 원인 분리가 어려움</w:t>
            </w:r>
          </w:p>
        </w:tc>
        <w:tc>
          <w:tcPr>
            <w:tcW w:type="dxa" w:w="3515"/>
          </w:tcPr>
          <w:p>
            <w:r/>
            <w:r>
              <w:rPr>
                <w:rFonts w:ascii="맑은 고딕" w:hAnsi="맑은 고딕" w:eastAsia="맑은 고딕"/>
                <w:b w:val="0"/>
                <w:i w:val="0"/>
                <w:sz w:val="17"/>
              </w:rPr>
              <w:t>편차의 원인이 곧 상호작용이므로 SHAP 등으로 기전 해석 용이</w:t>
            </w:r>
          </w:p>
        </w:tc>
      </w:tr>
      <w:tr>
        <w:tc>
          <w:tcPr>
            <w:tcW w:type="dxa" w:w="1474"/>
            <w:shd w:val="clear" w:fill="F0F4F8"/>
          </w:tcPr>
          <w:p>
            <w:r/>
            <w:r>
              <w:rPr>
                <w:rFonts w:ascii="맑은 고딕" w:hAnsi="맑은 고딕" w:eastAsia="맑은 고딕"/>
                <w:b w:val="0"/>
                <w:i w:val="0"/>
                <w:sz w:val="17"/>
              </w:rPr>
              <w:t>불균형 문제</w:t>
            </w:r>
          </w:p>
        </w:tc>
        <w:tc>
          <w:tcPr>
            <w:tcW w:type="dxa" w:w="3402"/>
            <w:shd w:val="clear" w:fill="F0F4F8"/>
          </w:tcPr>
          <w:p>
            <w:r/>
            <w:r>
              <w:rPr>
                <w:rFonts w:ascii="맑은 고딕" w:hAnsi="맑은 고딕" w:eastAsia="맑은 고딕"/>
                <w:b w:val="0"/>
                <w:i w:val="0"/>
                <w:sz w:val="17"/>
              </w:rPr>
              <w:t>심각 (NC 70~85% 편중) — SMOTE 등 필수</w:t>
            </w:r>
          </w:p>
        </w:tc>
        <w:tc>
          <w:tcPr>
            <w:tcW w:type="dxa" w:w="3515"/>
            <w:shd w:val="clear" w:fill="F0F4F8"/>
          </w:tcPr>
          <w:p>
            <w:r/>
            <w:r>
              <w:rPr>
                <w:rFonts w:ascii="맑은 고딕" w:hAnsi="맑은 고딕" w:eastAsia="맑은 고딕"/>
                <w:b w:val="0"/>
                <w:i w:val="0"/>
                <w:sz w:val="17"/>
              </w:rPr>
              <w:t>상대적으로 완화 (상가적 사례가 편차 0 근방에 몰려도 회귀로 처리 가능)</w:t>
            </w:r>
          </w:p>
        </w:tc>
      </w:tr>
      <w:tr>
        <w:tc>
          <w:tcPr>
            <w:tcW w:type="dxa" w:w="1474"/>
          </w:tcPr>
          <w:p>
            <w:r/>
            <w:r>
              <w:rPr>
                <w:rFonts w:ascii="맑은 고딕" w:hAnsi="맑은 고딕" w:eastAsia="맑은 고딕"/>
                <w:b w:val="0"/>
                <w:i w:val="0"/>
                <w:sz w:val="17"/>
              </w:rPr>
              <w:t>기존 CT 자산 활용</w:t>
            </w:r>
          </w:p>
        </w:tc>
        <w:tc>
          <w:tcPr>
            <w:tcW w:type="dxa" w:w="3402"/>
          </w:tcPr>
          <w:p>
            <w:r/>
            <w:r>
              <w:rPr>
                <w:rFonts w:ascii="맑은 고딕" w:hAnsi="맑은 고딕" w:eastAsia="맑은 고딕"/>
                <w:b w:val="0"/>
                <w:i w:val="0"/>
                <w:sz w:val="17"/>
              </w:rPr>
              <w:t>활용 안 함 — 처음부터 다시 학습</w:t>
            </w:r>
          </w:p>
        </w:tc>
        <w:tc>
          <w:tcPr>
            <w:tcW w:type="dxa" w:w="3515"/>
          </w:tcPr>
          <w:p>
            <w:r/>
            <w:r>
              <w:rPr>
                <w:rFonts w:ascii="맑은 고딕" w:hAnsi="맑은 고딕" w:eastAsia="맑은 고딕"/>
                <w:b w:val="0"/>
                <w:i w:val="0"/>
                <w:sz w:val="17"/>
              </w:rPr>
              <w:t>최대한 활용 — 검증된 baseline 위에 증분 개선</w:t>
            </w:r>
          </w:p>
        </w:tc>
      </w:tr>
      <w:tr>
        <w:tc>
          <w:tcPr>
            <w:tcW w:type="dxa" w:w="1474"/>
            <w:shd w:val="clear" w:fill="F0F4F8"/>
          </w:tcPr>
          <w:p>
            <w:r/>
            <w:r>
              <w:rPr>
                <w:rFonts w:ascii="맑은 고딕" w:hAnsi="맑은 고딕" w:eastAsia="맑은 고딕"/>
                <w:b w:val="0"/>
                <w:i w:val="0"/>
                <w:sz w:val="17"/>
              </w:rPr>
              <w:t>리스크</w:t>
            </w:r>
          </w:p>
        </w:tc>
        <w:tc>
          <w:tcPr>
            <w:tcW w:type="dxa" w:w="3402"/>
            <w:shd w:val="clear" w:fill="F0F4F8"/>
          </w:tcPr>
          <w:p>
            <w:r/>
            <w:r>
              <w:rPr>
                <w:rFonts w:ascii="맑은 고딕" w:hAnsi="맑은 고딕" w:eastAsia="맑은 고딕"/>
                <w:b w:val="0"/>
                <w:i w:val="0"/>
                <w:sz w:val="17"/>
              </w:rPr>
              <w:t>데이터 부족 시 CT를 단순 재현하는 모델로 수렴할 위험</w:t>
            </w:r>
          </w:p>
        </w:tc>
        <w:tc>
          <w:tcPr>
            <w:tcW w:type="dxa" w:w="3515"/>
            <w:shd w:val="clear" w:fill="F0F4F8"/>
          </w:tcPr>
          <w:p>
            <w:r/>
            <w:r>
              <w:rPr>
                <w:rFonts w:ascii="맑은 고딕" w:hAnsi="맑은 고딕" w:eastAsia="맑은 고딕"/>
                <w:b w:val="0"/>
                <w:i w:val="0"/>
                <w:sz w:val="17"/>
              </w:rPr>
              <w:t>CT 자체의 구조적 오류(예: 산·염기 오분류)는 그대로 물려받음</w:t>
            </w:r>
          </w:p>
        </w:tc>
      </w:tr>
    </w:tbl>
    <w:p>
      <w:pPr>
        <w:spacing w:after="40"/>
      </w:pPr>
    </w:p>
    <w:p>
      <w:pPr>
        <w:spacing w:after="120"/>
      </w:pPr>
      <w:r>
        <w:rPr>
          <w:rFonts w:ascii="맑은 고딕" w:hAnsi="맑은 고딕" w:eastAsia="맑은 고딕"/>
          <w:b w:val="0"/>
          <w:i w:val="0"/>
          <w:sz w:val="21"/>
        </w:rPr>
        <w:t>결론적으로 두 트랙은 상호 배타적이지 않다. 현재 데이터가 부족한 시점에서는 Track B로 즉시 개발에 착수해 조기 성과(baseline 대비 개선폭)를 확보하고, 데이터 수집이 누적됨에 따라 Track A의 성능을 함께 끌어올려, 최종적으로 두 트랙의 예측을 앙상블(가중평균, 스태킹 등)하는 것이 가장 현실적인 개발 로드맵이다.</w:t>
      </w:r>
    </w:p>
    <w:p>
      <w:r>
        <w:br w:type="page"/>
      </w:r>
    </w:p>
    <w:p>
      <w:pPr>
        <w:pStyle w:val="Heading1"/>
        <w:spacing w:before="360"/>
      </w:pPr>
      <w:r>
        <w:t>아이디어 6. 실행 로드맵</w:t>
      </w:r>
    </w:p>
    <w:tbl>
      <w:tblPr>
        <w:tblStyle w:val="TableGrid"/>
        <w:tblW w:type="auto" w:w="0"/>
        <w:jc w:val="center"/>
        <w:tblLayout w:type="fixed"/>
        <w:tblLook w:firstColumn="1" w:firstRow="1" w:lastColumn="0" w:lastRow="0" w:noHBand="0" w:noVBand="1" w:val="04A0"/>
      </w:tblPr>
      <w:tblGrid>
        <w:gridCol w:w="4873"/>
        <w:gridCol w:w="4873"/>
      </w:tblGrid>
      <w:tr>
        <w:tc>
          <w:tcPr>
            <w:tcW w:type="dxa" w:w="2494"/>
            <w:shd w:val="clear" w:fill="2E74B5"/>
          </w:tcPr>
          <w:p>
            <w:pPr>
              <w:jc w:val="center"/>
            </w:pPr>
            <w:r/>
            <w:r>
              <w:rPr>
                <w:rFonts w:ascii="맑은 고딕" w:hAnsi="맑은 고딕" w:eastAsia="맑은 고딕"/>
                <w:b/>
                <w:i w:val="0"/>
                <w:color w:val="FFFFFF"/>
                <w:sz w:val="18"/>
              </w:rPr>
              <w:t>단계</w:t>
            </w:r>
          </w:p>
        </w:tc>
        <w:tc>
          <w:tcPr>
            <w:tcW w:type="dxa" w:w="5896"/>
            <w:shd w:val="clear" w:fill="2E74B5"/>
          </w:tcPr>
          <w:p>
            <w:pPr>
              <w:jc w:val="center"/>
            </w:pPr>
            <w:r/>
            <w:r>
              <w:rPr>
                <w:rFonts w:ascii="맑은 고딕" w:hAnsi="맑은 고딕" w:eastAsia="맑은 고딕"/>
                <w:b/>
                <w:i w:val="0"/>
                <w:color w:val="FFFFFF"/>
                <w:sz w:val="18"/>
              </w:rPr>
              <w:t>내용</w:t>
            </w:r>
          </w:p>
        </w:tc>
      </w:tr>
      <w:tr>
        <w:tc>
          <w:tcPr>
            <w:tcW w:type="dxa" w:w="2494"/>
          </w:tcPr>
          <w:p>
            <w:r/>
            <w:r>
              <w:rPr>
                <w:rFonts w:ascii="맑은 고딕" w:hAnsi="맑은 고딕" w:eastAsia="맑은 고딕"/>
                <w:b w:val="0"/>
                <w:i w:val="0"/>
                <w:sz w:val="18"/>
              </w:rPr>
              <w:t>Phase 1 (즉시 착수, Track B 우선)</w:t>
            </w:r>
          </w:p>
        </w:tc>
        <w:tc>
          <w:tcPr>
            <w:tcW w:type="dxa" w:w="5896"/>
          </w:tcPr>
          <w:p>
            <w:r/>
            <w:r>
              <w:rPr>
                <w:rFonts w:ascii="맑은 고딕" w:hAnsi="맑은 고딕" w:eastAsia="맑은 고딕"/>
                <w:b w:val="0"/>
                <w:i w:val="0"/>
                <w:sz w:val="18"/>
              </w:rPr>
              <w:t>현재 수집된 성분·농도·라벨 자료에 GHS CT 계산값을 추가 산출 → 편차 타겟 정의 → RF/XGBoost 잔차모델 1차 구축</w:t>
            </w:r>
          </w:p>
        </w:tc>
      </w:tr>
      <w:tr>
        <w:tc>
          <w:tcPr>
            <w:tcW w:type="dxa" w:w="2494"/>
            <w:shd w:val="clear" w:fill="F0F4F8"/>
          </w:tcPr>
          <w:p>
            <w:r/>
            <w:r>
              <w:rPr>
                <w:rFonts w:ascii="맑은 고딕" w:hAnsi="맑은 고딕" w:eastAsia="맑은 고딕"/>
                <w:b w:val="0"/>
                <w:i w:val="0"/>
                <w:sz w:val="18"/>
              </w:rPr>
              <w:t>Phase 2 (병행)</w:t>
            </w:r>
          </w:p>
        </w:tc>
        <w:tc>
          <w:tcPr>
            <w:tcW w:type="dxa" w:w="5896"/>
            <w:shd w:val="clear" w:fill="F0F4F8"/>
          </w:tcPr>
          <w:p>
            <w:r/>
            <w:r>
              <w:rPr>
                <w:rFonts w:ascii="맑은 고딕" w:hAnsi="맑은 고딕" w:eastAsia="맑은 고딕"/>
                <w:b w:val="0"/>
                <w:i w:val="0"/>
                <w:sz w:val="18"/>
              </w:rPr>
              <w:t>공개 DB(ECHA, ECOTOX, PubChem) 추가 수집 + 단일물질 QSAR 전이학습으로 Track A용 데이터 확충, class weighting·SMOTE 적용해 1차 직접예측 모델 구축</w:t>
            </w:r>
          </w:p>
        </w:tc>
      </w:tr>
      <w:tr>
        <w:tc>
          <w:tcPr>
            <w:tcW w:type="dxa" w:w="2494"/>
          </w:tcPr>
          <w:p>
            <w:r/>
            <w:r>
              <w:rPr>
                <w:rFonts w:ascii="맑은 고딕" w:hAnsi="맑은 고딕" w:eastAsia="맑은 고딕"/>
                <w:b w:val="0"/>
                <w:i w:val="0"/>
                <w:sz w:val="18"/>
              </w:rPr>
              <w:t>Phase 3</w:t>
            </w:r>
          </w:p>
        </w:tc>
        <w:tc>
          <w:tcPr>
            <w:tcW w:type="dxa" w:w="5896"/>
          </w:tcPr>
          <w:p>
            <w:r/>
            <w:r>
              <w:rPr>
                <w:rFonts w:ascii="맑은 고딕" w:hAnsi="맑은 고딕" w:eastAsia="맑은 고딕"/>
                <w:b w:val="0"/>
                <w:i w:val="0"/>
                <w:sz w:val="18"/>
              </w:rPr>
              <w:t>두 트랙 성능을 동일한 홀드아웃 세트(및 SDS+C12TAB형 알려진 상호작용 사례)에서 비교 검증</w:t>
            </w:r>
          </w:p>
        </w:tc>
      </w:tr>
      <w:tr>
        <w:tc>
          <w:tcPr>
            <w:tcW w:type="dxa" w:w="2494"/>
            <w:shd w:val="clear" w:fill="F0F4F8"/>
          </w:tcPr>
          <w:p>
            <w:r/>
            <w:r>
              <w:rPr>
                <w:rFonts w:ascii="맑은 고딕" w:hAnsi="맑은 고딕" w:eastAsia="맑은 고딕"/>
                <w:b w:val="0"/>
                <w:i w:val="0"/>
                <w:sz w:val="18"/>
              </w:rPr>
              <w:t>Phase 4</w:t>
            </w:r>
          </w:p>
        </w:tc>
        <w:tc>
          <w:tcPr>
            <w:tcW w:type="dxa" w:w="5896"/>
            <w:shd w:val="clear" w:fill="F0F4F8"/>
          </w:tcPr>
          <w:p>
            <w:r/>
            <w:r>
              <w:rPr>
                <w:rFonts w:ascii="맑은 고딕" w:hAnsi="맑은 고딕" w:eastAsia="맑은 고딕"/>
                <w:b w:val="0"/>
                <w:i w:val="0"/>
                <w:sz w:val="18"/>
              </w:rPr>
              <w:t>두 트랙 예측을 앙상블하거나, Track B의 해석성과 Track A의 포괄성을 결합한 최종 모델로 통합</w:t>
            </w:r>
          </w:p>
        </w:tc>
      </w:tr>
    </w:tbl>
    <w:p>
      <w:pPr>
        <w:spacing w:after="40"/>
      </w:pPr>
    </w:p>
    <w:p>
      <w:pPr>
        <w:spacing w:after="120"/>
      </w:pPr>
      <w:r>
        <w:rPr>
          <w:rFonts w:ascii="맑은 고딕" w:hAnsi="맑은 고딕" w:eastAsia="맑은 고딕"/>
          <w:b/>
          <w:i w:val="0"/>
          <w:sz w:val="21"/>
        </w:rPr>
        <w:t>현재 진행 상황</w:t>
      </w:r>
      <w:r>
        <w:rPr>
          <w:rFonts w:ascii="맑은 고딕" w:hAnsi="맑은 고딕" w:eastAsia="맑은 고딕"/>
          <w:b w:val="0"/>
          <w:i w:val="0"/>
          <w:sz w:val="21"/>
        </w:rPr>
        <w:t xml:space="preserve"> — Phase 1(CT baseline 산출·Track B 잔차 정의)과 Phase 2(라벨 수집 확충·불균형 처리)가 동시에 진행 중이며, 구체적인 데이터 현황과 성능 수치는 별도 문서(데이터 현황·진척 보고)에 정리돼 있다.</w:t>
      </w:r>
    </w:p>
    <w:p>
      <w:pPr>
        <w:pStyle w:val="Heading1"/>
        <w:spacing w:before="360"/>
      </w:pPr>
      <w:r>
        <w:t>참고 문헌 및 자료 출처</w:t>
      </w:r>
    </w:p>
    <w:p>
      <w:pPr>
        <w:spacing w:after="120"/>
      </w:pPr>
      <w:r>
        <w:rPr>
          <w:rFonts w:ascii="맑은 고딕" w:hAnsi="맑은 고딕" w:eastAsia="맑은 고딕"/>
          <w:b w:val="0"/>
          <w:i w:val="0"/>
          <w:sz w:val="21"/>
        </w:rPr>
        <w:t>본 정리본은 다음 유형의 자료를 종합적으로 검토하여 작성됐다: (1) UN GHS 10차 개정판 및 각국 이행 지침(OSHA HCS, EU CLP)의 혼합물 분류 규정, (2) 환경독성학 분야의 혼합물 상호작용 실증 연구(Model Deviation Ratio 기반 상승·길항 판별 연구), (3) 농약 제형의 보조제·활성성분 상호작용에 관한 독성학 문헌, (4) GHS 가산성 공식의 예측력에 관한 회고적 검증 연구(급성 전신독성 영역), (5) 신규접근법(NAM), QSAR, PBTK, IATA 등 대안적 혼합물 평가 방법론에 관한 리뷰 논문, (6) 클래스 불균형 처리 기법(SMOTE, SMOTEENN, 임계값 튜닝)에 관한 화학정보학·독성 QSAR 문헌, (7) 잔차·보정 기반 하이브리드 모델링(물리기반 baseline + 머신러닝 보정) 및 소규모 데이터 전이학습에 관한 연구. 구체적 수치·사례는 해당 분야의 공개된 학술 문헌에서 확인된 값을 인용·재구성한 것이다.</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7"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2E74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