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/>
          <w:b/>
          <w:color w:val="00467F"/>
          <w:sz w:val="56"/>
        </w:rPr>
        <w:t>제형 특성 추출 파이프라인</w:t>
      </w:r>
    </w:p>
    <w:p>
      <w:pPr>
        <w:jc w:val="center"/>
      </w:pPr>
      <w:r>
        <w:rPr>
          <w:rFonts w:ascii="Malgun Gothic" w:hAnsi="Malgun Gothic"/>
          <w:b w:val="0"/>
          <w:color w:val="595959"/>
          <w:sz w:val="28"/>
        </w:rPr>
        <w:t>Formulation Characteristics Extraction Pipeline</w:t>
      </w:r>
    </w:p>
    <w:p/>
    <w:p>
      <w:pPr>
        <w:jc w:val="center"/>
      </w:pPr>
      <w:r>
        <w:rPr>
          <w:rFonts w:ascii="Malgun Gothic" w:hAnsi="Malgun Gothic"/>
          <w:b w:val="0"/>
          <w:color w:val="7F7F7F"/>
          <w:sz w:val="22"/>
        </w:rPr>
        <w:t>팀원용 워크플로우 안내서 | 2026-07-11</w:t>
      </w:r>
    </w:p>
    <w:p>
      <w:r>
        <w:br w:type="page"/>
      </w:r>
    </w:p>
    <w:p>
      <w:pPr>
        <w:spacing w:before="280" w:after="80"/>
      </w:pPr>
      <w:r>
        <w:rPr>
          <w:rFonts w:ascii="Malgun Gothic" w:hAnsi="Malgun Gothic"/>
          <w:b/>
          <w:color w:val="00467F"/>
          <w:sz w:val="32"/>
        </w:rPr>
        <w:t>1. 개요 (Overview)</w:t>
      </w:r>
    </w:p>
    <w:p>
      <w:pPr>
        <w:spacing w:after="60"/>
      </w:pPr>
      <w:r>
        <w:rPr>
          <w:rFonts w:ascii="Malgun Gothic" w:hAnsi="Malgun Gothic"/>
          <w:b w:val="0"/>
          <w:sz w:val="20"/>
        </w:rPr>
        <w:t>이 워크플로우는 1,675개의 제형(Formulation) 데이터에서 5가지 핵심 특성을 자동으로 추출하는 AI 파이프라인입니다.</w:t>
      </w:r>
    </w:p>
    <w:p>
      <w:pPr>
        <w:spacing w:after="60"/>
      </w:pPr>
      <w:r>
        <w:rPr>
          <w:rFonts w:ascii="Malgun Gothic" w:hAnsi="Malgun Gothic"/>
          <w:b w:val="0"/>
          <w:sz w:val="20"/>
        </w:rPr>
        <w:t>기존 시스템은 개별 화학 성분(CAS 번호)의 존재 여부만 검증했습니다. 이 파이프라인은 제형 자체가 "무엇인지, 얼마나 위험한지, 어디에 쓰이는지"를 추출합니다.</w:t>
      </w:r>
    </w:p>
    <w:p/>
    <w:p>
      <w:pPr>
        <w:spacing w:before="160" w:after="80"/>
      </w:pPr>
      <w:r>
        <w:rPr>
          <w:rFonts w:ascii="Malgun Gothic" w:hAnsi="Malgun Gothic"/>
          <w:b/>
          <w:color w:val="0070C0"/>
          <w:sz w:val="26"/>
        </w:rPr>
        <w:t>추출 대상 5가지 차원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680"/>
            <w:shd w:val="clear" w:color="auto" w:fill="00467F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에이전트</w:t>
            </w:r>
          </w:p>
        </w:tc>
        <w:tc>
          <w:tcPr>
            <w:tcW w:type="dxa" w:w="1417"/>
            <w:shd w:val="clear" w:color="auto" w:fill="00467F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차원</w:t>
            </w:r>
          </w:p>
        </w:tc>
        <w:tc>
          <w:tcPr>
            <w:tcW w:type="dxa" w:w="3118"/>
            <w:shd w:val="clear" w:color="auto" w:fill="00467F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주요 출력 필드</w:t>
            </w:r>
          </w:p>
        </w:tc>
        <w:tc>
          <w:tcPr>
            <w:tcW w:type="dxa" w:w="2268"/>
            <w:shd w:val="clear" w:color="auto" w:fill="00467F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활용</w:t>
            </w:r>
          </w:p>
        </w:tc>
      </w:tr>
      <w:tr>
        <w:tc>
          <w:tcPr>
            <w:tcW w:type="dxa" w:w="680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A1</w:t>
            </w:r>
          </w:p>
        </w:tc>
        <w:tc>
          <w:tcPr>
            <w:tcW w:type="dxa" w:w="1417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제형 타입</w:t>
            </w:r>
          </w:p>
        </w:tc>
        <w:tc>
          <w:tcPr>
            <w:tcW w:type="dxa" w:w="3118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formulation_code, physical_form, product_category</w:t>
            </w:r>
          </w:p>
        </w:tc>
        <w:tc>
          <w:tcPr>
            <w:tcW w:type="dxa" w:w="2268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EC/SC/WP 등 제형 형태 분류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A2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위험도 프로파일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signal_word, h_codes, hazard_level_score (0-5)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GHS 위험 등급 자동 추출</w:t>
            </w:r>
          </w:p>
        </w:tc>
      </w:tr>
      <w:tr>
        <w:tc>
          <w:tcPr>
            <w:tcW w:type="dxa" w:w="680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A3</w:t>
            </w:r>
          </w:p>
        </w:tc>
        <w:tc>
          <w:tcPr>
            <w:tcW w:type="dxa" w:w="1417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사용 목적</w:t>
            </w:r>
          </w:p>
        </w:tc>
        <w:tc>
          <w:tcPr>
            <w:tcW w:type="dxa" w:w="3118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use_class, target_pest_organism, application_method</w:t>
            </w:r>
          </w:p>
        </w:tc>
        <w:tc>
          <w:tcPr>
            <w:tcW w:type="dxa" w:w="2268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농약/연구용/독성연구 분류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A4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규제 정보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epa_reg_number, regulatory_jurisdiction, registration_status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EPA 등록번호 등</w:t>
            </w:r>
          </w:p>
        </w:tc>
      </w:tr>
      <w:tr>
        <w:tc>
          <w:tcPr>
            <w:tcW w:type="dxa" w:w="680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A5</w:t>
            </w:r>
          </w:p>
        </w:tc>
        <w:tc>
          <w:tcPr>
            <w:tcW w:type="dxa" w:w="1417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성분 프로파일</w:t>
            </w:r>
          </w:p>
        </w:tc>
        <w:tc>
          <w:tcPr>
            <w:tcW w:type="dxa" w:w="3118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active_pct_total, formulation_complexity_score (1-5)</w:t>
            </w:r>
          </w:p>
        </w:tc>
        <w:tc>
          <w:tcPr>
            <w:tcW w:type="dxa" w:w="2268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활성성분 비율 및 복잡도</w:t>
            </w:r>
          </w:p>
        </w:tc>
      </w:tr>
    </w:tbl>
    <w:p/>
    <w:p>
      <w:pPr>
        <w:spacing w:before="280" w:after="80"/>
      </w:pPr>
      <w:r>
        <w:rPr>
          <w:rFonts w:ascii="Malgun Gothic" w:hAnsi="Malgun Gothic"/>
          <w:b/>
          <w:color w:val="00467F"/>
          <w:sz w:val="32"/>
        </w:rPr>
        <w:t>2. 데이터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00467F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551"/>
            <w:shd w:val="clear" w:color="auto" w:fill="00467F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값</w:t>
            </w:r>
          </w:p>
        </w:tc>
        <w:tc>
          <w:tcPr>
            <w:tcW w:type="dxa" w:w="2835"/>
            <w:shd w:val="clear" w:color="auto" w:fill="00467F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전체 제형 수</w:t>
            </w:r>
          </w:p>
        </w:tc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1,675개</w:t>
            </w:r>
          </w:p>
        </w:tc>
        <w:tc>
          <w:tcPr>
            <w:tcW w:type="dxa" w:w="2835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마스터 워크북 기준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Cancer_PID 계열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17개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규칙 기반 처리 (LLM 미사용)</w:t>
            </w:r>
          </w:p>
        </w:tc>
      </w:tr>
      <w:tr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LLM 추출 대상</w:t>
            </w:r>
          </w:p>
        </w:tc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1,658개</w:t>
            </w:r>
          </w:p>
        </w:tc>
        <w:tc>
          <w:tcPr>
            <w:tcW w:type="dxa" w:w="2835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50행 배치 × 34회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PDF 파싱 완료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411개 JSON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section_extracts/ 포함됨</w:t>
            </w:r>
          </w:p>
        </w:tc>
      </w:tr>
      <w:tr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sec_* 데이터 매칭</w:t>
            </w:r>
          </w:p>
        </w:tc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569개 (34%)</w:t>
            </w:r>
          </w:p>
        </w:tc>
        <w:tc>
          <w:tcPr>
            <w:tcW w:type="dxa" w:w="2835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나머지는 Evidence로 LLM 폴백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입력 파일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formulation_ingredients_master_audited.xlsx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팀원이 별도 보유 필요</w:t>
            </w:r>
          </w:p>
        </w:tc>
      </w:tr>
    </w:tbl>
    <w:p/>
    <w:p>
      <w:pPr>
        <w:spacing w:before="160" w:after="80"/>
      </w:pPr>
      <w:r>
        <w:rPr>
          <w:rFonts w:ascii="Malgun Gothic" w:hAnsi="Malgun Gothic"/>
          <w:b/>
          <w:color w:val="0070C0"/>
          <w:sz w:val="26"/>
        </w:rPr>
        <w:t>제형 계열별 분류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51"/>
            <w:shd w:val="clear" w:color="auto" w:fill="00467F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Formulation_ID 계열</w:t>
            </w:r>
          </w:p>
        </w:tc>
        <w:tc>
          <w:tcPr>
            <w:tcW w:type="dxa" w:w="1020"/>
            <w:shd w:val="clear" w:color="auto" w:fill="00467F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1701"/>
            <w:shd w:val="clear" w:color="auto" w:fill="00467F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독성 연구 유형</w:t>
            </w:r>
          </w:p>
        </w:tc>
        <w:tc>
          <w:tcPr>
            <w:tcW w:type="dxa" w:w="2665"/>
            <w:shd w:val="clear" w:color="auto" w:fill="00467F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Source_Files 특징</w:t>
            </w:r>
          </w:p>
        </w:tc>
      </w:tr>
      <w:tr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Cancer_PID_*</w:t>
            </w:r>
          </w:p>
        </w:tc>
        <w:tc>
          <w:tcPr>
            <w:tcW w:type="dxa" w:w="1020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17개</w:t>
            </w:r>
          </w:p>
        </w:tc>
        <w:tc>
          <w:tcPr>
            <w:tcW w:type="dxa" w:w="170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암 연구</w:t>
            </w:r>
          </w:p>
        </w:tc>
        <w:tc>
          <w:tcPr>
            <w:tcW w:type="dxa" w:w="2665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cancer.xlsx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EyeIrritation6pack_PID_*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613개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안독성 (토끼)</w:t>
            </w:r>
          </w:p>
        </w:tc>
        <w:tc>
          <w:tcPr>
            <w:tcW w:type="dxa" w:w="2665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eye_irritation_rabbit_mixture...xlsx</w:t>
            </w:r>
          </w:p>
        </w:tc>
      </w:tr>
      <w:tr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MIX_PID_* 외</w:t>
            </w:r>
          </w:p>
        </w:tc>
        <w:tc>
          <w:tcPr>
            <w:tcW w:type="dxa" w:w="1020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1,045개+</w:t>
            </w:r>
          </w:p>
        </w:tc>
        <w:tc>
          <w:tcPr>
            <w:tcW w:type="dxa" w:w="170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피부독성/급성독성</w:t>
            </w:r>
          </w:p>
        </w:tc>
        <w:tc>
          <w:tcPr>
            <w:tcW w:type="dxa" w:w="2665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skin_irritation, acute_dermal, acute_oral 혼재</w:t>
            </w:r>
          </w:p>
        </w:tc>
      </w:tr>
    </w:tbl>
    <w:p/>
    <w:p>
      <w:pPr>
        <w:spacing w:before="280" w:after="80"/>
      </w:pPr>
      <w:r>
        <w:rPr>
          <w:rFonts w:ascii="Malgun Gothic" w:hAnsi="Malgun Gothic"/>
          <w:b/>
          <w:color w:val="00467F"/>
          <w:sz w:val="32"/>
        </w:rPr>
        <w:t>3. 파이프라인 구조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color w:val="1E1E1E"/>
          <w:sz w:val="18"/>
        </w:rPr>
        <w:t>[입력] formulation_ingredients_master_audited.xlsx (1,675행)</w:t>
        <w:br/>
        <w:t xml:space="preserve">         │</w:t>
        <w:br/>
        <w:t xml:space="preserve">         ▼ Phase 0.5 — pdf_section_extractor.py  ✓ 완료</w:t>
        <w:br/>
        <w:t xml:space="preserve">   PDF 411개 파싱 → section_extracts/ JSON (GHS·위험도·규제 정보)</w:t>
        <w:br/>
        <w:t xml:space="preserve">         │</w:t>
        <w:br/>
        <w:t xml:space="preserve">         ▼ Phase 1  — enrich_with_sections.py    ✓ 완료</w:t>
        <w:br/>
        <w:t xml:space="preserve">   1,675행 + PDF 파싱값 합치기 → enriched_queue.csv</w:t>
        <w:br/>
        <w:t xml:space="preserve">         │</w:t>
        <w:br/>
        <w:t xml:space="preserve">         ▼ Phase 2  — extract_formulation_features.py  ← API 비용 발생</w:t>
        <w:br/>
        <w:t xml:space="preserve">   ┌──────────────────────────────────────────────────┐</w:t>
        <w:br/>
        <w:t xml:space="preserve">   │  Cancer_PID 17행  → 규칙 처리 (LLM 0회)           │</w:t>
        <w:br/>
        <w:t xml:space="preserve">   │  나머지 1,658행   → 50행 배치 × 34회               │</w:t>
        <w:br/>
        <w:t xml:space="preserve">   │    [A1] 제형타입  [A2] 위험도  [A3] 용도           │</w:t>
        <w:br/>
        <w:t xml:space="preserve">   │    [A4] 규제     [A5] 성분프로파일  (동시 실행)     │</w:t>
        <w:br/>
        <w:t xml:space="preserve">   └──────────────────────────────────────────────────┘</w:t>
        <w:br/>
        <w:t xml:space="preserve">         │</w:t>
        <w:br/>
        <w:t>[출력] artifacts/formulation_characteristics_output.csv / .xlsx</w:t>
        <w:br/>
        <w:t xml:space="preserve">       (1,675행 × 약 35컬럼)</w:t>
      </w:r>
    </w:p>
    <w:p>
      <w:pPr>
        <w:spacing w:before="160" w:after="80"/>
      </w:pPr>
      <w:r>
        <w:rPr>
          <w:rFonts w:ascii="Malgun Gothic" w:hAnsi="Malgun Gothic"/>
          <w:b/>
          <w:color w:val="0070C0"/>
          <w:sz w:val="26"/>
        </w:rPr>
        <w:t>처리 시간 및 비용 예상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00467F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417"/>
            <w:shd w:val="clear" w:color="auto" w:fill="00467F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소요 시간</w:t>
            </w:r>
          </w:p>
        </w:tc>
        <w:tc>
          <w:tcPr>
            <w:tcW w:type="dxa" w:w="2268"/>
            <w:shd w:val="clear" w:color="auto" w:fill="00467F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AWS/API 비용</w:t>
            </w:r>
          </w:p>
        </w:tc>
        <w:tc>
          <w:tcPr>
            <w:tcW w:type="dxa" w:w="2268"/>
            <w:shd w:val="clear" w:color="auto" w:fill="00467F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Phase 0.5 (PDF 파싱)</w:t>
            </w:r>
          </w:p>
        </w:tc>
        <w:tc>
          <w:tcPr>
            <w:tcW w:type="dxa" w:w="1417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~2분</w:t>
            </w:r>
          </w:p>
        </w:tc>
        <w:tc>
          <w:tcPr>
            <w:tcW w:type="dxa" w:w="2268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없음</w:t>
            </w:r>
          </w:p>
        </w:tc>
        <w:tc>
          <w:tcPr>
            <w:tcW w:type="dxa" w:w="2268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이미 완료됨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Phase 1 (데이터 조인)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~10초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없음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이미 완료됨</w:t>
            </w:r>
          </w:p>
        </w:tc>
      </w:tr>
      <w:tr>
        <w:tc>
          <w:tcPr>
            <w:tcW w:type="dxa" w:w="2268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Phase 2 (LLM 추출)</w:t>
            </w:r>
          </w:p>
        </w:tc>
        <w:tc>
          <w:tcPr>
            <w:tcW w:type="dxa" w:w="1417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15~20분</w:t>
            </w:r>
          </w:p>
        </w:tc>
        <w:tc>
          <w:tcPr>
            <w:tcW w:type="dxa" w:w="2268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Bedrock Sonnet 요금 발생</w:t>
            </w:r>
          </w:p>
        </w:tc>
        <w:tc>
          <w:tcPr>
            <w:tcW w:type="dxa" w:w="2268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170회 Claude API 호출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결과 저장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즉시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없음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CSV + XLSX 자동 생성</w:t>
            </w:r>
          </w:p>
        </w:tc>
      </w:tr>
    </w:tbl>
    <w:p/>
    <w:p>
      <w:pPr>
        <w:spacing w:before="280" w:after="80"/>
      </w:pPr>
      <w:r>
        <w:rPr>
          <w:rFonts w:ascii="Malgun Gothic" w:hAnsi="Malgun Gothic"/>
          <w:b/>
          <w:color w:val="00467F"/>
          <w:sz w:val="32"/>
        </w:rPr>
        <w:t>4. 배포 패키지 파일 구조</w:t>
      </w:r>
    </w:p>
    <w:p>
      <w:pPr>
        <w:spacing w:after="60"/>
      </w:pPr>
      <w:r>
        <w:rPr>
          <w:rFonts w:ascii="Malgun Gothic" w:hAnsi="Malgun Gothic"/>
          <w:b w:val="0"/>
          <w:sz w:val="20"/>
        </w:rPr>
        <w:t>압축 파일(formulation_pipeline_20260711.zip)에 포함된 구성입니다.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color w:val="1E1E1E"/>
          <w:sz w:val="18"/>
        </w:rPr>
        <w:t>formulation_pipeline_20260711.zip</w:t>
        <w:br/>
        <w:t>├── agents/</w:t>
        <w:br/>
        <w:t>│   ├── orchestrator.md              ← 전체 파이프라인 실행 규범</w:t>
        <w:br/>
        <w:t>│   ├── formulation_type_classifier.md    ← A1 에이전트 스펙</w:t>
        <w:br/>
        <w:t>│   ├── hazard_profile_extractor.md       ← A2 에이전트 스펙</w:t>
        <w:br/>
        <w:t>│   ├── use_application_extractor.md      ← A3 에이전트 스펙</w:t>
        <w:br/>
        <w:t>│   ├── regulatory_feature_extractor.md   ← A4 에이전트 스펙</w:t>
        <w:br/>
        <w:t>│   ├── active_ingredient_profiler.md     ← A5 에이전트 스펙</w:t>
        <w:br/>
        <w:t>│   └── pdf_section_extractor.md          ← Phase 0.5 스펙</w:t>
        <w:br/>
        <w:t>├── workflow/</w:t>
        <w:br/>
        <w:t>│   ├── run_pipeline.py              ← 마스터 실행 스크립트</w:t>
        <w:br/>
        <w:t>│   ├── enrich_with_sections.py      ← Phase 1</w:t>
        <w:br/>
        <w:t>│   ├── extract_formulation_features.py  ← Phase 2 (LLM)</w:t>
        <w:br/>
        <w:t>│   └── pdf_section_extractor.py     ← Phase 0.5</w:t>
        <w:br/>
        <w:t>├── requirements.txt                 ← Python 패키지 목록</w:t>
        <w:br/>
        <w:t>├── artifacts/</w:t>
        <w:br/>
        <w:t>│   └── enriched_queue.csv           ← Phase 1 결과 (1,675행, 바로 Phase 2 실행 가능)</w:t>
        <w:br/>
        <w:t>└── ingredient_source_audit/</w:t>
        <w:br/>
        <w:t xml:space="preserve">    └── section_extracts/            ← PDF 파싱 결과 JSON 411개 (Phase 0.5 재실행 불필요)</w:t>
      </w:r>
    </w:p>
    <w:p>
      <w:pPr>
        <w:spacing w:after="60"/>
      </w:pPr>
      <w:r>
        <w:rPr>
          <w:rFonts w:ascii="Malgun Gothic" w:hAnsi="Malgun Gothic"/>
          <w:b w:val="0"/>
          <w:sz w:val="20"/>
        </w:rPr>
        <w:t>※ formulation_ingredients_master_audited.xlsx (마스터 워크북)은 별도 보유 필요합니다.</w:t>
      </w:r>
    </w:p>
    <w:p>
      <w:pPr>
        <w:spacing w:before="280" w:after="80"/>
      </w:pPr>
      <w:r>
        <w:rPr>
          <w:rFonts w:ascii="Malgun Gothic" w:hAnsi="Malgun Gothic"/>
          <w:b/>
          <w:color w:val="00467F"/>
          <w:sz w:val="32"/>
        </w:rPr>
        <w:t>5. 실행 방법</w:t>
      </w:r>
    </w:p>
    <w:p>
      <w:pPr>
        <w:spacing w:before="160" w:after="80"/>
      </w:pPr>
      <w:r>
        <w:rPr>
          <w:rFonts w:ascii="Malgun Gothic" w:hAnsi="Malgun Gothic"/>
          <w:b/>
          <w:color w:val="0070C0"/>
          <w:sz w:val="26"/>
        </w:rPr>
        <w:t>사전 준비</w:t>
      </w:r>
    </w:p>
    <w:p>
      <w:pPr>
        <w:spacing w:after="60"/>
      </w:pPr>
      <w:r>
        <w:rPr>
          <w:rFonts w:ascii="Malgun Gothic" w:hAnsi="Malgun Gothic"/>
          <w:b w:val="0"/>
          <w:sz w:val="20"/>
        </w:rPr>
        <w:t>① 압축 해제 후 formulation_ingredients_master_audited.xlsx를 루트 폴더에 배치</w:t>
      </w:r>
    </w:p>
    <w:p>
      <w:pPr>
        <w:spacing w:after="60"/>
      </w:pPr>
      <w:r>
        <w:rPr>
          <w:rFonts w:ascii="Malgun Gothic" w:hAnsi="Malgun Gothic"/>
          <w:b w:val="0"/>
          <w:sz w:val="20"/>
        </w:rPr>
        <w:t>② Python 패키지 설치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color w:val="1E1E1E"/>
          <w:sz w:val="18"/>
        </w:rPr>
        <w:t>pip install -r requirements.txt</w:t>
      </w:r>
    </w:p>
    <w:p>
      <w:pPr>
        <w:spacing w:after="60"/>
      </w:pPr>
      <w:r>
        <w:rPr>
          <w:rFonts w:ascii="Malgun Gothic" w:hAnsi="Malgun Gothic"/>
          <w:b w:val="0"/>
          <w:sz w:val="20"/>
        </w:rPr>
        <w:t>③ AWS Bedrock 환경변수 설정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color w:val="1E1E1E"/>
          <w:sz w:val="18"/>
        </w:rPr>
        <w:t>export AWS_ACCESS_KEY_ID=&lt;your_key&gt;</w:t>
        <w:br/>
        <w:t>export AWS_SECRET_ACCESS_KEY=&lt;your_secret&gt;</w:t>
        <w:br/>
        <w:t>export AWS_DEFAULT_REGION=us-east-1</w:t>
      </w:r>
    </w:p>
    <w:p>
      <w:pPr>
        <w:spacing w:before="160" w:after="80"/>
      </w:pPr>
      <w:r>
        <w:rPr>
          <w:rFonts w:ascii="Malgun Gothic" w:hAnsi="Malgun Gothic"/>
          <w:b/>
          <w:color w:val="0070C0"/>
          <w:sz w:val="26"/>
        </w:rPr>
        <w:t>실행 명령</w:t>
      </w:r>
    </w:p>
    <w:p>
      <w:pPr>
        <w:spacing w:after="60"/>
      </w:pPr>
      <w:r>
        <w:rPr>
          <w:rFonts w:ascii="Malgun Gothic" w:hAnsi="Malgun Gothic"/>
          <w:b w:val="0"/>
          <w:sz w:val="20"/>
        </w:rPr>
        <w:t>■ Phase 2만 실행 (Phase 0.5, 1은 이미 완료됨)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color w:val="1E1E1E"/>
          <w:sz w:val="18"/>
        </w:rPr>
        <w:t>python workflow/run_pipeline.py --from-phase 2</w:t>
      </w:r>
    </w:p>
    <w:p>
      <w:pPr>
        <w:spacing w:after="60"/>
      </w:pPr>
      <w:r>
        <w:rPr>
          <w:rFonts w:ascii="Malgun Gothic" w:hAnsi="Malgun Gothic"/>
          <w:b w:val="0"/>
          <w:sz w:val="20"/>
        </w:rPr>
        <w:t>■ 처음부터 전체 실행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color w:val="1E1E1E"/>
          <w:sz w:val="18"/>
        </w:rPr>
        <w:t>python workflow/run_pipeline.py</w:t>
      </w:r>
    </w:p>
    <w:p>
      <w:pPr>
        <w:spacing w:after="60"/>
      </w:pPr>
      <w:r>
        <w:rPr>
          <w:rFonts w:ascii="Malgun Gothic" w:hAnsi="Malgun Gothic"/>
          <w:b w:val="0"/>
          <w:sz w:val="20"/>
        </w:rPr>
        <w:t>■ 현재 상태 확인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color w:val="1E1E1E"/>
          <w:sz w:val="18"/>
        </w:rPr>
        <w:t>python workflow/run_pipeline.py --status</w:t>
      </w:r>
    </w:p>
    <w:p>
      <w:pPr>
        <w:spacing w:after="60"/>
      </w:pPr>
      <w:r>
        <w:rPr>
          <w:rFonts w:ascii="Malgun Gothic" w:hAnsi="Malgun Gothic"/>
          <w:b w:val="0"/>
          <w:sz w:val="20"/>
        </w:rPr>
        <w:t>■ 중단 후 재시작 (캐시 활용, 비용 중복 없음)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color w:val="1E1E1E"/>
          <w:sz w:val="18"/>
        </w:rPr>
        <w:t>python workflow/run_pipeline.py --from-phase 2   # 자동으로 중단점부터 재개</w:t>
      </w:r>
    </w:p>
    <w:p>
      <w:pPr>
        <w:spacing w:before="160" w:after="80"/>
      </w:pPr>
      <w:r>
        <w:rPr>
          <w:rFonts w:ascii="Malgun Gothic" w:hAnsi="Malgun Gothic"/>
          <w:b/>
          <w:color w:val="0070C0"/>
          <w:sz w:val="26"/>
        </w:rPr>
        <w:t>모델 변경 (선택)</w:t>
      </w:r>
    </w:p>
    <w:p>
      <w:pPr>
        <w:spacing w:after="60"/>
      </w:pPr>
      <w:r>
        <w:rPr>
          <w:rFonts w:ascii="Malgun Gothic" w:hAnsi="Malgun Gothic"/>
          <w:b w:val="0"/>
          <w:sz w:val="20"/>
        </w:rPr>
        <w:t>AWS Bedrock 콘솔에서 활성화된 모델 ID로 오버라이드 가능합니다.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color w:val="1E1E1E"/>
          <w:sz w:val="18"/>
        </w:rPr>
        <w:t>export BEDROCK_MODEL_ID=us.anthropic.claude-3-5-sonnet-20241022-v2:0</w:t>
      </w:r>
    </w:p>
    <w:p>
      <w:pPr>
        <w:spacing w:before="280" w:after="80"/>
      </w:pPr>
      <w:r>
        <w:rPr>
          <w:rFonts w:ascii="Malgun Gothic" w:hAnsi="Malgun Gothic"/>
          <w:b/>
          <w:color w:val="00467F"/>
          <w:sz w:val="32"/>
        </w:rPr>
        <w:t>6. 출력 결과</w:t>
      </w:r>
    </w:p>
    <w:p>
      <w:pPr>
        <w:spacing w:after="60"/>
      </w:pPr>
      <w:r>
        <w:rPr>
          <w:rFonts w:ascii="Malgun Gothic" w:hAnsi="Malgun Gothic"/>
          <w:b w:val="0"/>
          <w:sz w:val="20"/>
        </w:rPr>
        <w:t>실행 완료 후 artifacts/ 폴더에 2개 파일이 생성됩니다.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color w:val="1E1E1E"/>
          <w:sz w:val="18"/>
        </w:rPr>
        <w:t>artifacts/formulation_characteristics_output.csv   ← 분석용</w:t>
        <w:br/>
        <w:t>artifacts/formulation_characteristics_output.xlsx  ← 엑셀 직접 열기</w:t>
      </w:r>
    </w:p>
    <w:p>
      <w:pPr>
        <w:spacing w:before="160" w:after="80"/>
      </w:pPr>
      <w:r>
        <w:rPr>
          <w:rFonts w:ascii="Malgun Gothic" w:hAnsi="Malgun Gothic"/>
          <w:b/>
          <w:color w:val="0070C0"/>
          <w:sz w:val="26"/>
        </w:rPr>
        <w:t>출력 컬럼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  <w:shd w:val="clear" w:color="auto" w:fill="00467F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그룹</w:t>
            </w:r>
          </w:p>
        </w:tc>
        <w:tc>
          <w:tcPr>
            <w:tcW w:type="dxa" w:w="2551"/>
            <w:shd w:val="clear" w:color="auto" w:fill="00467F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2551"/>
            <w:shd w:val="clear" w:color="auto" w:fill="00467F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예시 값</w:t>
            </w:r>
          </w:p>
        </w:tc>
        <w:tc>
          <w:tcPr>
            <w:tcW w:type="dxa" w:w="1701"/>
            <w:shd w:val="clear" w:color="auto" w:fill="00467F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417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식별자</w:t>
            </w:r>
          </w:p>
        </w:tc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Formulation_ID</w:t>
            </w:r>
          </w:p>
        </w:tc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EyeIrritation6pack_PID10</w:t>
            </w:r>
          </w:p>
        </w:tc>
        <w:tc>
          <w:tcPr>
            <w:tcW w:type="dxa" w:w="170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제형 고유 ID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식별자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Formulation_Name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Atlantis Herbicide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제품명</w:t>
            </w:r>
          </w:p>
        </w:tc>
      </w:tr>
      <w:tr>
        <w:tc>
          <w:tcPr>
            <w:tcW w:type="dxa" w:w="1417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A1 제형타입</w:t>
            </w:r>
          </w:p>
        </w:tc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formulation_code</w:t>
            </w:r>
          </w:p>
        </w:tc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SC</w:t>
            </w:r>
          </w:p>
        </w:tc>
        <w:tc>
          <w:tcPr>
            <w:tcW w:type="dxa" w:w="170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Suspension Concentrate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A1 제형타입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physical_form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liquid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물리적 형태</w:t>
            </w:r>
          </w:p>
        </w:tc>
      </w:tr>
      <w:tr>
        <w:tc>
          <w:tcPr>
            <w:tcW w:type="dxa" w:w="1417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A1 제형타입</w:t>
            </w:r>
          </w:p>
        </w:tc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type_confidence</w:t>
            </w:r>
          </w:p>
        </w:tc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HIGH</w:t>
            </w:r>
          </w:p>
        </w:tc>
        <w:tc>
          <w:tcPr>
            <w:tcW w:type="dxa" w:w="170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추출 신뢰도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A2 위험도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signal_word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WARNING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GHS 신호어</w:t>
            </w:r>
          </w:p>
        </w:tc>
      </w:tr>
      <w:tr>
        <w:tc>
          <w:tcPr>
            <w:tcW w:type="dxa" w:w="1417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A2 위험도</w:t>
            </w:r>
          </w:p>
        </w:tc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h_codes</w:t>
            </w:r>
          </w:p>
        </w:tc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H302;H400;H410</w:t>
            </w:r>
          </w:p>
        </w:tc>
        <w:tc>
          <w:tcPr>
            <w:tcW w:type="dxa" w:w="170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위험 문구 코드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A2 위험도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hazard_level_score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3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위험도 점수 (0-5)</w:t>
            </w:r>
          </w:p>
        </w:tc>
      </w:tr>
      <w:tr>
        <w:tc>
          <w:tcPr>
            <w:tcW w:type="dxa" w:w="1417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A3 사용목적</w:t>
            </w:r>
          </w:p>
        </w:tc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use_class</w:t>
            </w:r>
          </w:p>
        </w:tc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study/eye_irritation_rabbit</w:t>
            </w:r>
          </w:p>
        </w:tc>
        <w:tc>
          <w:tcPr>
            <w:tcW w:type="dxa" w:w="170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사용 목적 분류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A3 사용목적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target_pest_organism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weeds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대상 생물</w:t>
            </w:r>
          </w:p>
        </w:tc>
      </w:tr>
      <w:tr>
        <w:tc>
          <w:tcPr>
            <w:tcW w:type="dxa" w:w="1417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A4 규제</w:t>
            </w:r>
          </w:p>
        </w:tc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epa_reg_number</w:t>
            </w:r>
          </w:p>
        </w:tc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432-1234</w:t>
            </w:r>
          </w:p>
        </w:tc>
        <w:tc>
          <w:tcPr>
            <w:tcW w:type="dxa" w:w="170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EPA 등록번호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A4 규제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registration_status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registered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등록 상태</w:t>
            </w:r>
          </w:p>
        </w:tc>
      </w:tr>
      <w:tr>
        <w:tc>
          <w:tcPr>
            <w:tcW w:type="dxa" w:w="1417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A5 성분</w:t>
            </w:r>
          </w:p>
        </w:tc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active_pct_total</w:t>
            </w:r>
          </w:p>
        </w:tc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42.5</w:t>
            </w:r>
          </w:p>
        </w:tc>
        <w:tc>
          <w:tcPr>
            <w:tcW w:type="dxa" w:w="170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활성성분 총 % 합계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A5 성분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formulation_complexity_score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3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성분 복잡도 (1-5)</w:t>
            </w:r>
          </w:p>
        </w:tc>
      </w:tr>
    </w:tbl>
    <w:p/>
    <w:p>
      <w:pPr>
        <w:spacing w:before="160" w:after="80"/>
      </w:pPr>
      <w:r>
        <w:rPr>
          <w:rFonts w:ascii="Malgun Gothic" w:hAnsi="Malgun Gothic"/>
          <w:b/>
          <w:color w:val="0070C0"/>
          <w:sz w:val="26"/>
        </w:rPr>
        <w:t>실행 직후 터미널 품질 요약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color w:val="1E1E1E"/>
          <w:sz w:val="18"/>
        </w:rPr>
        <w:t>=== 품질 검증 ===</w:t>
        <w:br/>
        <w:t>formulation_code UNKNOWN 비율: 28.3%  (목표 &lt; 40%)</w:t>
        <w:br/>
        <w:t>use_class 추출률:             91.4%  (목표 ≥ 85%)</w:t>
        <w:br/>
        <w:t>epa_reg_number 발견률:         8.2%  (목표 ≥ 10%)</w:t>
        <w:br/>
        <w:br/>
        <w:t>저장 완료:</w:t>
        <w:br/>
        <w:t xml:space="preserve">  CSV:  artifacts/formulation_characteristics_output.csv</w:t>
        <w:br/>
        <w:t xml:space="preserve">  XLSX: artifacts/formulation_characteristics_output.xlsx</w:t>
        <w:br/>
        <w:t xml:space="preserve">  총 행: 1675, 총 컬럼: 35</w:t>
      </w:r>
    </w:p>
    <w:p>
      <w:pPr>
        <w:spacing w:before="280" w:after="80"/>
      </w:pPr>
      <w:r>
        <w:rPr>
          <w:rFonts w:ascii="Malgun Gothic" w:hAnsi="Malgun Gothic"/>
          <w:b/>
          <w:color w:val="00467F"/>
          <w:sz w:val="32"/>
        </w:rPr>
        <w:t>7. 품질 게이트 (자동 검증 항목)</w:t>
      </w:r>
    </w:p>
    <w:p>
      <w:pPr>
        <w:spacing w:after="60"/>
      </w:pPr>
      <w:r>
        <w:rPr>
          <w:rFonts w:ascii="Malgun Gothic" w:hAnsi="Malgun Gothic"/>
          <w:b w:val="0"/>
          <w:sz w:val="20"/>
        </w:rPr>
        <w:t>Phase 2 완료 직후 자동으로 검증합니다. 실패 항목이 있으면 에이전트 프롬프트 조정 후 재실행합니다.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97"/>
            <w:shd w:val="clear" w:color="auto" w:fill="00467F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#</w:t>
            </w:r>
          </w:p>
        </w:tc>
        <w:tc>
          <w:tcPr>
            <w:tcW w:type="dxa" w:w="2721"/>
            <w:shd w:val="clear" w:color="auto" w:fill="00467F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검증 항목</w:t>
            </w:r>
          </w:p>
        </w:tc>
        <w:tc>
          <w:tcPr>
            <w:tcW w:type="dxa" w:w="2268"/>
            <w:shd w:val="clear" w:color="auto" w:fill="00467F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통과 기준</w:t>
            </w:r>
          </w:p>
        </w:tc>
        <w:tc>
          <w:tcPr>
            <w:tcW w:type="dxa" w:w="2551"/>
            <w:shd w:val="clear" w:color="auto" w:fill="00467F"/>
          </w:tcPr>
          <w:p>
            <w:r>
              <w:rPr>
                <w:rFonts w:ascii="Malgun Gothic" w:hAnsi="Malgun Gothic"/>
                <w:b/>
                <w:color w:val="FFFFFF"/>
                <w:sz w:val="18"/>
              </w:rPr>
              <w:t>실측 베이스라인</w:t>
            </w:r>
          </w:p>
        </w:tc>
      </w:tr>
      <w:tr>
        <w:tc>
          <w:tcPr>
            <w:tcW w:type="dxa" w:w="397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G1</w:t>
            </w:r>
          </w:p>
        </w:tc>
        <w:tc>
          <w:tcPr>
            <w:tcW w:type="dxa" w:w="272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전체 행 존재</w:t>
            </w:r>
          </w:p>
        </w:tc>
        <w:tc>
          <w:tcPr>
            <w:tcW w:type="dxa" w:w="2268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1,675행 모두 출력</w:t>
            </w:r>
          </w:p>
        </w:tc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G2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signal_word UNKNOWN 비율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&lt; 30%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sec_signal_word 20.6% 확보</w:t>
            </w:r>
          </w:p>
        </w:tc>
      </w:tr>
      <w:tr>
        <w:tc>
          <w:tcPr>
            <w:tcW w:type="dxa" w:w="397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G3</w:t>
            </w:r>
          </w:p>
        </w:tc>
        <w:tc>
          <w:tcPr>
            <w:tcW w:type="dxa" w:w="272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use_class 추출률</w:t>
            </w:r>
          </w:p>
        </w:tc>
        <w:tc>
          <w:tcPr>
            <w:tcW w:type="dxa" w:w="2268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≥ 85%</w:t>
            </w:r>
          </w:p>
        </w:tc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연구유형 규칙 추가로 목표 달성 가능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G4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Cancer_PID use_class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= research/cancer_study 100%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규칙으로 보장됨</w:t>
            </w:r>
          </w:p>
        </w:tc>
      </w:tr>
      <w:tr>
        <w:tc>
          <w:tcPr>
            <w:tcW w:type="dxa" w:w="397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G5</w:t>
            </w:r>
          </w:p>
        </w:tc>
        <w:tc>
          <w:tcPr>
            <w:tcW w:type="dxa" w:w="272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formulation_complexity_score</w:t>
            </w:r>
          </w:p>
        </w:tc>
        <w:tc>
          <w:tcPr>
            <w:tcW w:type="dxa" w:w="2268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이상치(범위 밖) 없음</w:t>
            </w:r>
          </w:p>
        </w:tc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1-5 범위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G6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active_pct_total &gt; 100% 행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0 또는 inconsistent 태깅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397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G7</w:t>
            </w:r>
          </w:p>
        </w:tc>
        <w:tc>
          <w:tcPr>
            <w:tcW w:type="dxa" w:w="272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formulation_code UNKNOWN 비율</w:t>
            </w:r>
          </w:p>
        </w:tc>
        <w:tc>
          <w:tcPr>
            <w:tcW w:type="dxa" w:w="2268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&lt; 40%</w:t>
            </w:r>
          </w:p>
        </w:tc>
        <w:tc>
          <w:tcPr>
            <w:tcW w:type="dxa" w:w="2551"/>
            <w:shd w:val="clear" w:color="auto" w:fill="DDEEFF"/>
          </w:tcPr>
          <w:p>
            <w:r>
              <w:rPr>
                <w:rFonts w:ascii="Malgun Gothic" w:hAnsi="Malgun Gothic"/>
                <w:b w:val="0"/>
                <w:sz w:val="18"/>
              </w:rPr>
              <w:t>sec_formulation_code 7.8%</w:t>
            </w:r>
          </w:p>
        </w:tc>
      </w:tr>
    </w:tbl>
    <w:p/>
    <w:p>
      <w:pPr>
        <w:spacing w:before="280" w:after="80"/>
      </w:pPr>
      <w:r>
        <w:rPr>
          <w:rFonts w:ascii="Malgun Gothic" w:hAnsi="Malgun Gothic"/>
          <w:b/>
          <w:color w:val="00467F"/>
          <w:sz w:val="32"/>
        </w:rPr>
        <w:t>8. 주의사항</w:t>
      </w:r>
    </w:p>
    <w:p>
      <w:pPr>
        <w:pStyle w:val="ListBullet"/>
        <w:spacing w:after="60"/>
      </w:pPr>
      <w:r>
        <w:rPr>
          <w:rFonts w:ascii="Malgun Gothic" w:hAnsi="Malgun Gothic"/>
          <w:b w:val="0"/>
          <w:sz w:val="20"/>
        </w:rPr>
        <w:t>AWS 자격증명(AWS_ACCESS_KEY_ID, AWS_SECRET_ACCESS_KEY)은 환경변수로만 사용하고 코드에 직접 입력하지 마세요.</w:t>
      </w:r>
    </w:p>
    <w:p>
      <w:pPr>
        <w:pStyle w:val="ListBullet"/>
        <w:spacing w:after="60"/>
      </w:pPr>
      <w:r>
        <w:rPr>
          <w:rFonts w:ascii="Malgun Gothic" w:hAnsi="Malgun Gothic"/>
          <w:b w:val="0"/>
          <w:sz w:val="20"/>
        </w:rPr>
        <w:t>Phase 2 실행 중 중단되면 extraction_cache/ 폴더에 완료된 배치가 저장됩니다. 재실행 시 자동으로 이어서 처리됩니다 (비용 중복 없음).</w:t>
      </w:r>
    </w:p>
    <w:p>
      <w:pPr>
        <w:pStyle w:val="ListBullet"/>
        <w:spacing w:after="60"/>
      </w:pPr>
      <w:r>
        <w:rPr>
          <w:rFonts w:ascii="Malgun Gothic" w:hAnsi="Malgun Gothic"/>
          <w:b w:val="0"/>
          <w:sz w:val="20"/>
        </w:rPr>
        <w:t>formulation_ingredients_master_audited.xlsx 파일은 압축 파일에 포함되지 않았습니다. 별도로 준비해야 합니다.</w:t>
      </w:r>
    </w:p>
    <w:p>
      <w:pPr>
        <w:pStyle w:val="ListBullet"/>
        <w:spacing w:after="60"/>
      </w:pPr>
      <w:r>
        <w:rPr>
          <w:rFonts w:ascii="Malgun Gothic" w:hAnsi="Malgun Gothic"/>
          <w:b w:val="0"/>
          <w:sz w:val="20"/>
        </w:rPr>
        <w:t>성분 추출(ingredient-level) 작업은 이 파이프라인의 범위 밖입니다. 제형 특성(formulation-level) 5차원만 추출합니다.</w:t>
      </w:r>
    </w:p>
    <w:p>
      <w:pPr>
        <w:pStyle w:val="ListBullet"/>
        <w:spacing w:after="60"/>
      </w:pPr>
      <w:r>
        <w:rPr>
          <w:rFonts w:ascii="Malgun Gothic" w:hAnsi="Malgun Gothic"/>
          <w:b w:val="0"/>
          <w:sz w:val="20"/>
        </w:rPr>
        <w:t>Bedrock에서 모델이 활성화되지 않은 경우 AWS 콘솔 → Bedrock → Model access에서 활성화 후 재실행하세요.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