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Ironwood Ridge Constructors — Project Milestone Report</w:t>
      </w:r>
    </w:p>
    <w:p>
      <w:r>
        <w:t>Project: Mesa Commerce Center — Building B</w:t>
      </w:r>
    </w:p>
    <w:p>
      <w:r>
        <w:t>Date: February 20, 2026</w:t>
      </w:r>
    </w:p>
    <w:p>
      <w:r>
        <w:t>Prepared by: Project Management</w:t>
      </w:r>
    </w:p>
    <w:p/>
    <w:p>
      <w:pPr>
        <w:pStyle w:val="Heading2"/>
      </w:pPr>
      <w:r>
        <w:t>Milestone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Structural steel complete</w:t>
            </w:r>
          </w:p>
        </w:tc>
        <w:tc>
          <w:tcPr>
            <w:tcW w:type="dxa" w:w="4320"/>
          </w:tcPr>
          <w:p>
            <w:r>
              <w:t>January 14, 2026 — Complete</w:t>
            </w:r>
          </w:p>
        </w:tc>
      </w:tr>
      <w:tr>
        <w:tc>
          <w:tcPr>
            <w:tcW w:type="dxa" w:w="4320"/>
          </w:tcPr>
          <w:p>
            <w:r>
              <w:t>MEP rough-in</w:t>
            </w:r>
          </w:p>
        </w:tc>
        <w:tc>
          <w:tcPr>
            <w:tcW w:type="dxa" w:w="4320"/>
          </w:tcPr>
          <w:p>
            <w:r>
              <w:t>February 28, 2026 — On track</w:t>
            </w:r>
          </w:p>
        </w:tc>
      </w:tr>
      <w:tr>
        <w:tc>
          <w:tcPr>
            <w:tcW w:type="dxa" w:w="4320"/>
          </w:tcPr>
          <w:p>
            <w:r>
              <w:t>Exterior cladding</w:t>
            </w:r>
          </w:p>
        </w:tc>
        <w:tc>
          <w:tcPr>
            <w:tcW w:type="dxa" w:w="4320"/>
          </w:tcPr>
          <w:p>
            <w:r>
              <w:t>March 30, 2026 — On track</w:t>
            </w:r>
          </w:p>
        </w:tc>
      </w:tr>
      <w:tr>
        <w:tc>
          <w:tcPr>
            <w:tcW w:type="dxa" w:w="4320"/>
          </w:tcPr>
          <w:p>
            <w:r>
              <w:t>Substantial Completion</w:t>
            </w:r>
          </w:p>
        </w:tc>
        <w:tc>
          <w:tcPr>
            <w:tcW w:type="dxa" w:w="4320"/>
          </w:tcPr>
          <w:p>
            <w:r>
              <w:t>October 18, 2026 — Owner update</w:t>
            </w:r>
          </w:p>
        </w:tc>
      </w:tr>
      <w:tr>
        <w:tc>
          <w:tcPr>
            <w:tcW w:type="dxa" w:w="4320"/>
          </w:tcPr>
          <w:p>
            <w:r>
              <w:t>Final Completion</w:t>
            </w:r>
          </w:p>
        </w:tc>
        <w:tc>
          <w:tcPr>
            <w:tcW w:type="dxa" w:w="4320"/>
          </w:tcPr>
          <w:p>
            <w:r>
              <w:t>November 5, 2026 — Per internal schedule</w:t>
            </w:r>
          </w:p>
        </w:tc>
      </w:tr>
    </w:tbl>
    <w:p/>
    <w:p>
      <w:pPr>
        <w:pStyle w:val="Heading2"/>
      </w:pPr>
      <w:r>
        <w:t>Substantial Completion — Schedule Note</w:t>
      </w:r>
    </w:p>
    <w:p>
      <w:r>
        <w:t>The Substantial Completion date of October 18, 2026 was communicated to the owner in the January 28 project update email. The current internal schedule (Rev 6, February 10) reflects a Substantial Completion date of November 5, 2026, incorporating a weather delay buffer and a pending inspection cycle for the rooftop mechanical units. The project team will present the revised schedule to the owner at the February 25 OAC meeting and seek written acceptance.</w:t>
      </w:r>
    </w:p>
    <w:p>
      <w:pPr>
        <w:pStyle w:val="Heading2"/>
      </w:pPr>
      <w:r>
        <w:t>Change Orders</w:t>
      </w:r>
    </w:p>
    <w:p>
      <w:r>
        <w:t>Active change order log total: $2,180,000 across 11 executed COs. Three additional COs are in review (CO #12–14), totaling approximately $340,000. Owner representative has verbally approved CO #12; written approval pending.</w:t>
      </w:r>
    </w:p>
    <w:p>
      <w:pPr>
        <w:pStyle w:val="Heading2"/>
      </w:pPr>
      <w:r>
        <w:t>Open Issues</w:t>
      </w:r>
    </w:p>
    <w:p>
      <w:pPr>
        <w:pStyle w:val="ListBullet"/>
      </w:pPr>
      <w:r>
        <w:t>Glazing subcontractor lead time — confirm delivery date by Feb 28.</w:t>
      </w:r>
    </w:p>
    <w:p>
      <w:pPr>
        <w:pStyle w:val="ListBullet"/>
      </w:pPr>
      <w:r>
        <w:t>Fire marshal pre-inspection scheduled for March 10.</w:t>
      </w:r>
    </w:p>
    <w:p>
      <w:pPr>
        <w:pStyle w:val="ListBullet"/>
      </w:pPr>
      <w:r>
        <w:t>Owner to provide final finish selections for lobby by March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