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Greybridge Partners — January 2026 Practice Performance Summary</w:t>
      </w:r>
    </w:p>
    <w:p>
      <w:r>
        <w:t>Prepared by: Finance &amp; Operations</w:t>
      </w:r>
    </w:p>
    <w:p>
      <w:r>
        <w:t>Date: February 6, 2026</w:t>
      </w:r>
    </w:p>
    <w:p/>
    <w:p>
      <w:pPr>
        <w:pStyle w:val="Heading2"/>
      </w:pPr>
      <w:r>
        <w:t>Utilization</w:t>
      </w:r>
    </w:p>
    <w:p>
      <w:r>
        <w:t>The January practice dashboard (distributed to partners) shows a firm-wide utilization rate of 78% for client-billable work. The finance tracker calculates January utilization at 71%, as it excludes hours coded as 'internal development', 'proposal writing', and 'BD support' from the denominator. Both figures are accurate within their respective definitions. The Partners agreed at the January 30 leadership meeting to adopt the finance tracker definition (71%) as the official utilization KPI going forward, effective February reporting.</w:t>
      </w:r>
    </w:p>
    <w:p>
      <w:pPr>
        <w:pStyle w:val="Heading2"/>
      </w:pPr>
      <w:r>
        <w:t>Revenue</w:t>
      </w:r>
    </w:p>
    <w:tbl>
      <w:tblPr>
        <w:tblStyle w:val="TableGrid"/>
        <w:tblW w:type="auto" w:w="0"/>
        <w:tblLook w:firstColumn="1" w:firstRow="1" w:lastColumn="0" w:lastRow="0" w:noHBand="0" w:noVBand="1" w:val="04A0"/>
      </w:tblPr>
      <w:tblGrid>
        <w:gridCol w:w="4320"/>
        <w:gridCol w:w="4320"/>
      </w:tblGrid>
      <w:tr>
        <w:tc>
          <w:tcPr>
            <w:tcW w:type="dxa" w:w="4320"/>
          </w:tcPr>
          <w:p>
            <w:r>
              <w:t>January recognized revenue</w:t>
            </w:r>
          </w:p>
        </w:tc>
        <w:tc>
          <w:tcPr>
            <w:tcW w:type="dxa" w:w="4320"/>
          </w:tcPr>
          <w:p>
            <w:r>
              <w:t>$1,840,000</w:t>
            </w:r>
          </w:p>
        </w:tc>
      </w:tr>
      <w:tr>
        <w:tc>
          <w:tcPr>
            <w:tcW w:type="dxa" w:w="4320"/>
          </w:tcPr>
          <w:p>
            <w:r>
              <w:t>January billed</w:t>
            </w:r>
          </w:p>
        </w:tc>
        <w:tc>
          <w:tcPr>
            <w:tcW w:type="dxa" w:w="4320"/>
          </w:tcPr>
          <w:p>
            <w:r>
              <w:t>$1,760,000</w:t>
            </w:r>
          </w:p>
        </w:tc>
      </w:tr>
      <w:tr>
        <w:tc>
          <w:tcPr>
            <w:tcW w:type="dxa" w:w="4320"/>
          </w:tcPr>
          <w:p>
            <w:r>
              <w:t>Unbilled (WIP)</w:t>
            </w:r>
          </w:p>
        </w:tc>
        <w:tc>
          <w:tcPr>
            <w:tcW w:type="dxa" w:w="4320"/>
          </w:tcPr>
          <w:p>
            <w:r>
              <w:t>$80,000</w:t>
            </w:r>
          </w:p>
        </w:tc>
      </w:tr>
      <w:tr>
        <w:tc>
          <w:tcPr>
            <w:tcW w:type="dxa" w:w="4320"/>
          </w:tcPr>
          <w:p>
            <w:r>
              <w:t>Pipeline (Q1 weighted)</w:t>
            </w:r>
          </w:p>
        </w:tc>
        <w:tc>
          <w:tcPr>
            <w:tcW w:type="dxa" w:w="4320"/>
          </w:tcPr>
          <w:p>
            <w:r>
              <w:t>$3,200,000</w:t>
            </w:r>
          </w:p>
        </w:tc>
      </w:tr>
    </w:tbl>
    <w:p/>
    <w:p>
      <w:pPr>
        <w:pStyle w:val="Heading2"/>
      </w:pPr>
      <w:r>
        <w:t>Active Engagements — Highlights</w:t>
      </w:r>
    </w:p>
    <w:p>
      <w:pPr>
        <w:pStyle w:val="ListBullet"/>
      </w:pPr>
      <w:r>
        <w:t>Hartwell Logistics: Phase 2 kickoff Feb 3. On track.</w:t>
      </w:r>
    </w:p>
    <w:p>
      <w:pPr>
        <w:pStyle w:val="ListBullet"/>
      </w:pPr>
      <w:r>
        <w:t>Meridian Health: Diagnostic complete. Readout Feb 12.</w:t>
      </w:r>
    </w:p>
    <w:p>
      <w:pPr>
        <w:pStyle w:val="ListBullet"/>
      </w:pPr>
      <w:r>
        <w:t>Blackstone Foods: Final report delivered. Closeout pending.</w:t>
      </w:r>
    </w:p>
    <w:p>
      <w:pPr>
        <w:pStyle w:val="ListBullet"/>
      </w:pPr>
      <w:r>
        <w:t>Fenway Capital: Proposal submitted Jan 28. Decision by Feb 15.</w:t>
      </w:r>
    </w:p>
    <w:p>
      <w:pPr>
        <w:pStyle w:val="Heading2"/>
      </w:pPr>
      <w:r>
        <w:t>Risk Items</w:t>
      </w:r>
    </w:p>
    <w:p>
      <w:pPr>
        <w:pStyle w:val="ListBullet"/>
      </w:pPr>
      <w:r>
        <w:t>Two senior consultants at capacity — no capacity for new large engagements until March.</w:t>
      </w:r>
    </w:p>
    <w:p>
      <w:pPr>
        <w:pStyle w:val="ListBullet"/>
      </w:pPr>
      <w:r>
        <w:t>Meridian Health scope creep risk: client requesting additional deliverables outside SOW.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