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Harborview Care Partners — Network Operations Summary</w:t>
      </w:r>
    </w:p>
    <w:p>
      <w:r>
        <w:t>Month: January 2026</w:t>
      </w:r>
    </w:p>
    <w:p>
      <w:r>
        <w:t>Prepared by: Operations</w:t>
      </w:r>
    </w:p>
    <w:p/>
    <w:p>
      <w:pPr>
        <w:pStyle w:val="Heading2"/>
      </w:pPr>
      <w:r>
        <w:t>Volume Across 6 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visits (Jan)</w:t>
            </w:r>
          </w:p>
        </w:tc>
        <w:tc>
          <w:tcPr>
            <w:tcW w:type="dxa" w:w="4320"/>
          </w:tcPr>
          <w:p>
            <w:r>
              <w:t>8,412</w:t>
            </w:r>
          </w:p>
        </w:tc>
      </w:tr>
      <w:tr>
        <w:tc>
          <w:tcPr>
            <w:tcW w:type="dxa" w:w="4320"/>
          </w:tcPr>
          <w:p>
            <w:r>
              <w:t>New patients</w:t>
            </w:r>
          </w:p>
        </w:tc>
        <w:tc>
          <w:tcPr>
            <w:tcW w:type="dxa" w:w="4320"/>
          </w:tcPr>
          <w:p>
            <w:r>
              <w:t>682</w:t>
            </w:r>
          </w:p>
        </w:tc>
      </w:tr>
      <w:tr>
        <w:tc>
          <w:tcPr>
            <w:tcW w:type="dxa" w:w="4320"/>
          </w:tcPr>
          <w:p>
            <w:r>
              <w:t>No-shows (ops definition)</w:t>
            </w:r>
          </w:p>
        </w:tc>
        <w:tc>
          <w:tcPr>
            <w:tcW w:type="dxa" w:w="4320"/>
          </w:tcPr>
          <w:p>
            <w:r>
              <w:t>4.9%</w:t>
            </w:r>
          </w:p>
        </w:tc>
      </w:tr>
      <w:tr>
        <w:tc>
          <w:tcPr>
            <w:tcW w:type="dxa" w:w="4320"/>
          </w:tcPr>
          <w:p>
            <w:r>
              <w:t>No-shows (revenue cycle definition)</w:t>
            </w:r>
          </w:p>
        </w:tc>
        <w:tc>
          <w:tcPr>
            <w:tcW w:type="dxa" w:w="4320"/>
          </w:tcPr>
          <w:p>
            <w:r>
              <w:t>7.1%</w:t>
            </w:r>
          </w:p>
        </w:tc>
      </w:tr>
      <w:tr>
        <w:tc>
          <w:tcPr>
            <w:tcW w:type="dxa" w:w="4320"/>
          </w:tcPr>
          <w:p>
            <w:r>
              <w:t>Late cancels (excluded from ops)</w:t>
            </w:r>
          </w:p>
        </w:tc>
        <w:tc>
          <w:tcPr>
            <w:tcW w:type="dxa" w:w="4320"/>
          </w:tcPr>
          <w:p>
            <w:r>
              <w:t>182 events</w:t>
            </w:r>
          </w:p>
        </w:tc>
      </w:tr>
    </w:tbl>
    <w:p/>
    <w:p>
      <w:pPr>
        <w:pStyle w:val="Heading2"/>
      </w:pPr>
      <w:r>
        <w:t>No-Show Definition Discrepancy</w:t>
      </w:r>
    </w:p>
    <w:p>
      <w:r>
        <w:t>Operations dashboard excludes late-cancel appointments (within 4 hours of start) from the no-show rate calculation. The reported rate for January is 4.9%. The revenue cycle team includes late-cancels as no-shows for billing projection purposes, yielding a rate of 7.1%. Both figures appear in network reporting and have caused confusion with site directors. Medical Director Dr. Elena Marsh has asked for a unified definition to be adopted before the Q1 board report in April.</w:t>
      </w:r>
    </w:p>
    <w:p>
      <w:pPr>
        <w:pStyle w:val="Heading2"/>
      </w:pPr>
      <w:r>
        <w:t>Billing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Gross charges (Jan)</w:t>
            </w:r>
          </w:p>
        </w:tc>
        <w:tc>
          <w:tcPr>
            <w:tcW w:type="dxa" w:w="4320"/>
          </w:tcPr>
          <w:p>
            <w:r>
              <w:t>$2,840,000</w:t>
            </w:r>
          </w:p>
        </w:tc>
      </w:tr>
      <w:tr>
        <w:tc>
          <w:tcPr>
            <w:tcW w:type="dxa" w:w="4320"/>
          </w:tcPr>
          <w:p>
            <w:r>
              <w:t>Expected collections</w:t>
            </w:r>
          </w:p>
        </w:tc>
        <w:tc>
          <w:tcPr>
            <w:tcW w:type="dxa" w:w="4320"/>
          </w:tcPr>
          <w:p>
            <w:r>
              <w:t>$1,920,000</w:t>
            </w:r>
          </w:p>
        </w:tc>
      </w:tr>
      <w:tr>
        <w:tc>
          <w:tcPr>
            <w:tcW w:type="dxa" w:w="4320"/>
          </w:tcPr>
          <w:p>
            <w:r>
              <w:t>Collection rate (target)</w:t>
            </w:r>
          </w:p>
        </w:tc>
        <w:tc>
          <w:tcPr>
            <w:tcW w:type="dxa" w:w="4320"/>
          </w:tcPr>
          <w:p>
            <w:r>
              <w:t>67%</w:t>
            </w:r>
          </w:p>
        </w:tc>
      </w:tr>
      <w:tr>
        <w:tc>
          <w:tcPr>
            <w:tcW w:type="dxa" w:w="4320"/>
          </w:tcPr>
          <w:p>
            <w:r>
              <w:t>Collection rate (actuals est.)</w:t>
            </w:r>
          </w:p>
        </w:tc>
        <w:tc>
          <w:tcPr>
            <w:tcW w:type="dxa" w:w="4320"/>
          </w:tcPr>
          <w:p>
            <w:r>
              <w:t>65.8%</w:t>
            </w:r>
          </w:p>
        </w:tc>
      </w:tr>
    </w:tbl>
    <w:p/>
    <w:p>
      <w:pPr>
        <w:pStyle w:val="Heading2"/>
      </w:pPr>
      <w:r>
        <w:t>Compliance</w:t>
      </w:r>
    </w:p>
    <w:p>
      <w:r>
        <w:t>HIPAA refresher training completion: 94% network-wide. Sites at Marin and Sacramento-East are below 80% — HR to follow up by Feb 28.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