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Cascadia Fasteners &amp; Forming — January 2026 Production Summary</w:t>
      </w:r>
    </w:p>
    <w:p>
      <w:r>
        <w:t>Prepared by: Operations</w:t>
      </w:r>
    </w:p>
    <w:p>
      <w:r>
        <w:t>Date: February 4, 2026</w:t>
      </w:r>
    </w:p>
    <w:p/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Units produced (Jan)</w:t>
            </w:r>
          </w:p>
        </w:tc>
        <w:tc>
          <w:tcPr>
            <w:tcW w:type="dxa" w:w="4320"/>
          </w:tcPr>
          <w:p>
            <w:r>
              <w:t>4,820,000</w:t>
            </w:r>
          </w:p>
        </w:tc>
      </w:tr>
      <w:tr>
        <w:tc>
          <w:tcPr>
            <w:tcW w:type="dxa" w:w="4320"/>
          </w:tcPr>
          <w:p>
            <w:r>
              <w:t>Planned</w:t>
            </w:r>
          </w:p>
        </w:tc>
        <w:tc>
          <w:tcPr>
            <w:tcW w:type="dxa" w:w="4320"/>
          </w:tcPr>
          <w:p>
            <w:r>
              <w:t>5,000,000</w:t>
            </w:r>
          </w:p>
        </w:tc>
      </w:tr>
      <w:tr>
        <w:tc>
          <w:tcPr>
            <w:tcW w:type="dxa" w:w="4320"/>
          </w:tcPr>
          <w:p>
            <w:r>
              <w:t>Attainment</w:t>
            </w:r>
          </w:p>
        </w:tc>
        <w:tc>
          <w:tcPr>
            <w:tcW w:type="dxa" w:w="4320"/>
          </w:tcPr>
          <w:p>
            <w:r>
              <w:t>96.4%</w:t>
            </w:r>
          </w:p>
        </w:tc>
      </w:tr>
      <w:tr>
        <w:tc>
          <w:tcPr>
            <w:tcW w:type="dxa" w:w="4320"/>
          </w:tcPr>
          <w:p>
            <w:r>
              <w:t>Top gap reason</w:t>
            </w:r>
          </w:p>
        </w:tc>
        <w:tc>
          <w:tcPr>
            <w:tcW w:type="dxa" w:w="4320"/>
          </w:tcPr>
          <w:p>
            <w:r>
              <w:t>Scheduled maintenance (Jan 18–19) — planned downtime</w:t>
            </w:r>
          </w:p>
        </w:tc>
      </w:tr>
    </w:tbl>
    <w:p/>
    <w:p>
      <w:pPr>
        <w:pStyle w:val="Heading2"/>
      </w:pPr>
      <w:r>
        <w:t>Inventory Valuation Note</w:t>
      </w:r>
    </w:p>
    <w:p>
      <w:r>
        <w:t>Finance carries fastener-grade steel at standard cost ($0.72/lb). The most recent purchase from Pacific Steel (January 8) was at $0.78/lb. Current stock: approximately 420,000 lbs — $25,200 valuation variance. Finance will adjust at Q1 close.</w:t>
      </w:r>
    </w:p>
    <w:p>
      <w:pPr>
        <w:pStyle w:val="Heading2"/>
      </w:pPr>
      <w:r>
        <w:t>On-Time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OTD rate (Jan)</w:t>
            </w:r>
          </w:p>
        </w:tc>
        <w:tc>
          <w:tcPr>
            <w:tcW w:type="dxa" w:w="4320"/>
          </w:tcPr>
          <w:p>
            <w:r>
              <w:t>97.1%</w:t>
            </w:r>
          </w:p>
        </w:tc>
      </w:tr>
      <w:tr>
        <w:tc>
          <w:tcPr>
            <w:tcW w:type="dxa" w:w="4320"/>
          </w:tcPr>
          <w:p>
            <w:r>
              <w:t>Calculation basis</w:t>
            </w:r>
          </w:p>
        </w:tc>
        <w:tc>
          <w:tcPr>
            <w:tcW w:type="dxa" w:w="4320"/>
          </w:tcPr>
          <w:p>
            <w:r>
              <w:t>Ship date vs. PO due date; complete orders only</w:t>
            </w:r>
          </w:p>
        </w:tc>
      </w:tr>
      <w:tr>
        <w:tc>
          <w:tcPr>
            <w:tcW w:type="dxa" w:w="4320"/>
          </w:tcPr>
          <w:p>
            <w:r>
              <w:t>3PL transfer accuracy</w:t>
            </w:r>
          </w:p>
        </w:tc>
        <w:tc>
          <w:tcPr>
            <w:tcW w:type="dxa" w:w="4320"/>
          </w:tcPr>
          <w:p>
            <w:r>
              <w:t>99.4%</w:t>
            </w:r>
          </w:p>
        </w:tc>
      </w:tr>
    </w:tbl>
    <w:p/>
    <w:p>
      <w:pPr>
        <w:pStyle w:val="Heading2"/>
      </w:pPr>
      <w:r>
        <w:t>Quality</w:t>
      </w:r>
    </w:p>
    <w:p>
      <w:r>
        <w:t>PPM (parts per million defective) for January: 284. Target: &lt;400. No customer escapes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